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C9A73" w14:textId="77777777" w:rsidR="006C5A50" w:rsidRDefault="006C5A50" w:rsidP="006C5A5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5386"/>
          <w:sz w:val="32"/>
          <w:szCs w:val="32"/>
        </w:rPr>
        <w:t>New Federal Programs and Notable Changes</w:t>
      </w:r>
      <w:r>
        <w:rPr>
          <w:rStyle w:val="eop"/>
          <w:rFonts w:ascii="Arial" w:hAnsi="Arial" w:cs="Arial"/>
          <w:color w:val="005386"/>
          <w:sz w:val="32"/>
          <w:szCs w:val="32"/>
        </w:rPr>
        <w:t> </w:t>
      </w:r>
    </w:p>
    <w:p w14:paraId="6DDDDFC1" w14:textId="77777777" w:rsidR="006C5A50" w:rsidRDefault="006C5A50" w:rsidP="006C5A50">
      <w:pPr>
        <w:pStyle w:val="paragraph"/>
        <w:spacing w:before="0" w:beforeAutospacing="0" w:after="0" w:afterAutospacing="0"/>
        <w:jc w:val="both"/>
        <w:textAlignment w:val="baseline"/>
        <w:rPr>
          <w:rFonts w:ascii="Segoe UI" w:hAnsi="Segoe UI" w:cs="Segoe UI"/>
          <w:sz w:val="18"/>
          <w:szCs w:val="18"/>
        </w:rPr>
      </w:pPr>
      <w:r>
        <w:rPr>
          <w:rStyle w:val="normaltextrun"/>
          <w:rFonts w:ascii="Noto Sans" w:hAnsi="Noto Sans" w:cs="Noto Sans"/>
          <w:b/>
          <w:bCs/>
          <w:color w:val="0070C0"/>
          <w:sz w:val="22"/>
          <w:szCs w:val="22"/>
        </w:rPr>
        <w:t>1) Tax-Free First Home Savings Account (FHSA) </w:t>
      </w:r>
      <w:r>
        <w:rPr>
          <w:rStyle w:val="eop"/>
          <w:rFonts w:ascii="Noto Sans" w:hAnsi="Noto Sans" w:cs="Noto Sans"/>
          <w:color w:val="0070C0"/>
          <w:sz w:val="22"/>
          <w:szCs w:val="22"/>
        </w:rPr>
        <w:t> </w:t>
      </w:r>
    </w:p>
    <w:p w14:paraId="73DDCEDE" w14:textId="77777777" w:rsidR="006C5A50" w:rsidRDefault="006C5A50" w:rsidP="006C5A50">
      <w:pPr>
        <w:pStyle w:val="paragraph"/>
        <w:spacing w:before="0" w:beforeAutospacing="0" w:after="0" w:afterAutospacing="0"/>
        <w:jc w:val="both"/>
        <w:textAlignment w:val="baseline"/>
        <w:rPr>
          <w:rFonts w:ascii="Segoe UI" w:hAnsi="Segoe UI" w:cs="Segoe UI"/>
          <w:sz w:val="18"/>
          <w:szCs w:val="18"/>
        </w:rPr>
      </w:pPr>
      <w:r>
        <w:rPr>
          <w:rStyle w:val="normaltextrun"/>
          <w:rFonts w:ascii="Noto Sans" w:hAnsi="Noto Sans" w:cs="Noto Sans"/>
          <w:color w:val="000000"/>
          <w:sz w:val="18"/>
          <w:szCs w:val="18"/>
        </w:rPr>
        <w:t>The budget proposes the creation of the Tax-Free First Home Savings Account (FHSA), a registered account that will assist individuals in saving for their first home. </w:t>
      </w:r>
      <w:r>
        <w:rPr>
          <w:rStyle w:val="eop"/>
          <w:rFonts w:ascii="Noto Sans" w:hAnsi="Noto Sans" w:cs="Noto Sans"/>
          <w:color w:val="000000"/>
          <w:sz w:val="18"/>
          <w:szCs w:val="18"/>
        </w:rPr>
        <w:t> </w:t>
      </w:r>
    </w:p>
    <w:p w14:paraId="1F56203F" w14:textId="77777777" w:rsidR="006C5A50" w:rsidRDefault="006C5A50" w:rsidP="006C5A50">
      <w:pPr>
        <w:pStyle w:val="paragraph"/>
        <w:spacing w:before="0" w:beforeAutospacing="0" w:after="0" w:afterAutospacing="0"/>
        <w:ind w:left="255"/>
        <w:jc w:val="both"/>
        <w:textAlignment w:val="baseline"/>
        <w:rPr>
          <w:rFonts w:ascii="Segoe UI" w:hAnsi="Segoe UI" w:cs="Segoe UI"/>
          <w:sz w:val="18"/>
          <w:szCs w:val="18"/>
        </w:rPr>
      </w:pPr>
      <w:r>
        <w:rPr>
          <w:rStyle w:val="normaltextrun"/>
          <w:rFonts w:ascii="Noto Sans" w:hAnsi="Noto Sans" w:cs="Noto Sans"/>
          <w:b/>
          <w:bCs/>
          <w:color w:val="000000"/>
          <w:sz w:val="18"/>
          <w:szCs w:val="18"/>
        </w:rPr>
        <w:t>a) Eligibility </w:t>
      </w:r>
      <w:r>
        <w:rPr>
          <w:rStyle w:val="eop"/>
          <w:rFonts w:ascii="Noto Sans" w:hAnsi="Noto Sans" w:cs="Noto Sans"/>
          <w:color w:val="000000"/>
          <w:sz w:val="18"/>
          <w:szCs w:val="18"/>
        </w:rPr>
        <w:t> </w:t>
      </w:r>
    </w:p>
    <w:p w14:paraId="461FE5A1" w14:textId="77777777" w:rsidR="006C5A50" w:rsidRDefault="006C5A50" w:rsidP="006C5A50">
      <w:pPr>
        <w:pStyle w:val="paragraph"/>
        <w:numPr>
          <w:ilvl w:val="0"/>
          <w:numId w:val="1"/>
        </w:numPr>
        <w:spacing w:before="0" w:beforeAutospacing="0" w:after="0" w:afterAutospacing="0"/>
        <w:ind w:left="1080" w:firstLine="0"/>
        <w:textAlignment w:val="baseline"/>
        <w:rPr>
          <w:rFonts w:ascii="Noto Sans" w:hAnsi="Noto Sans" w:cs="Noto Sans"/>
          <w:color w:val="000000"/>
          <w:sz w:val="18"/>
          <w:szCs w:val="18"/>
        </w:rPr>
      </w:pPr>
      <w:r>
        <w:rPr>
          <w:rStyle w:val="normaltextrun"/>
          <w:rFonts w:ascii="Noto Sans" w:hAnsi="Noto Sans" w:cs="Noto Sans"/>
          <w:color w:val="000000"/>
          <w:sz w:val="18"/>
          <w:szCs w:val="18"/>
        </w:rPr>
        <w:t>Canadian resident </w:t>
      </w:r>
      <w:r>
        <w:rPr>
          <w:rStyle w:val="eop"/>
          <w:rFonts w:ascii="Noto Sans" w:hAnsi="Noto Sans" w:cs="Noto Sans"/>
          <w:color w:val="000000"/>
          <w:sz w:val="18"/>
          <w:szCs w:val="18"/>
        </w:rPr>
        <w:t> </w:t>
      </w:r>
    </w:p>
    <w:p w14:paraId="50B93C09" w14:textId="77777777" w:rsidR="006C5A50" w:rsidRDefault="006C5A50" w:rsidP="006C5A50">
      <w:pPr>
        <w:pStyle w:val="paragraph"/>
        <w:numPr>
          <w:ilvl w:val="0"/>
          <w:numId w:val="1"/>
        </w:numPr>
        <w:spacing w:before="0" w:beforeAutospacing="0" w:after="0" w:afterAutospacing="0"/>
        <w:ind w:left="1080" w:firstLine="0"/>
        <w:textAlignment w:val="baseline"/>
        <w:rPr>
          <w:rFonts w:ascii="Noto Sans" w:hAnsi="Noto Sans" w:cs="Noto Sans"/>
          <w:color w:val="000000"/>
          <w:sz w:val="18"/>
          <w:szCs w:val="18"/>
        </w:rPr>
      </w:pPr>
      <w:r>
        <w:rPr>
          <w:rStyle w:val="normaltextrun"/>
          <w:rFonts w:ascii="Noto Sans" w:hAnsi="Noto Sans" w:cs="Noto Sans"/>
          <w:color w:val="000000"/>
          <w:sz w:val="18"/>
          <w:szCs w:val="18"/>
        </w:rPr>
        <w:t>At least 18 years of age </w:t>
      </w:r>
      <w:r>
        <w:rPr>
          <w:rStyle w:val="eop"/>
          <w:rFonts w:ascii="Noto Sans" w:hAnsi="Noto Sans" w:cs="Noto Sans"/>
          <w:color w:val="000000"/>
          <w:sz w:val="18"/>
          <w:szCs w:val="18"/>
        </w:rPr>
        <w:t> </w:t>
      </w:r>
    </w:p>
    <w:p w14:paraId="6D410A58" w14:textId="77777777" w:rsidR="006C5A50" w:rsidRDefault="006C5A50" w:rsidP="006C5A50">
      <w:pPr>
        <w:pStyle w:val="paragraph"/>
        <w:numPr>
          <w:ilvl w:val="0"/>
          <w:numId w:val="1"/>
        </w:numPr>
        <w:spacing w:before="0" w:beforeAutospacing="0" w:after="0" w:afterAutospacing="0"/>
        <w:ind w:left="1080" w:firstLine="0"/>
        <w:textAlignment w:val="baseline"/>
        <w:rPr>
          <w:rFonts w:ascii="Noto Sans" w:hAnsi="Noto Sans" w:cs="Noto Sans"/>
          <w:color w:val="000000"/>
          <w:sz w:val="18"/>
          <w:szCs w:val="18"/>
        </w:rPr>
      </w:pPr>
      <w:r>
        <w:rPr>
          <w:rStyle w:val="normaltextrun"/>
          <w:rFonts w:ascii="Noto Sans" w:hAnsi="Noto Sans" w:cs="Noto Sans"/>
          <w:color w:val="000000"/>
          <w:sz w:val="18"/>
          <w:szCs w:val="18"/>
        </w:rPr>
        <w:t>Not lived in a home they owned in the year the account was opened, or </w:t>
      </w:r>
      <w:r>
        <w:rPr>
          <w:rStyle w:val="eop"/>
          <w:rFonts w:ascii="Noto Sans" w:hAnsi="Noto Sans" w:cs="Noto Sans"/>
          <w:color w:val="000000"/>
          <w:sz w:val="18"/>
          <w:szCs w:val="18"/>
        </w:rPr>
        <w:t> </w:t>
      </w:r>
    </w:p>
    <w:p w14:paraId="7336D371" w14:textId="77777777" w:rsidR="006C5A50" w:rsidRDefault="006C5A50" w:rsidP="006C5A50">
      <w:pPr>
        <w:pStyle w:val="paragraph"/>
        <w:numPr>
          <w:ilvl w:val="0"/>
          <w:numId w:val="1"/>
        </w:numPr>
        <w:spacing w:before="0" w:beforeAutospacing="0" w:after="0" w:afterAutospacing="0"/>
        <w:ind w:left="1080" w:firstLine="0"/>
        <w:textAlignment w:val="baseline"/>
        <w:rPr>
          <w:rFonts w:ascii="Noto Sans" w:hAnsi="Noto Sans" w:cs="Noto Sans"/>
          <w:color w:val="000000"/>
          <w:sz w:val="18"/>
          <w:szCs w:val="18"/>
        </w:rPr>
      </w:pPr>
      <w:r>
        <w:rPr>
          <w:rStyle w:val="normaltextrun"/>
          <w:rFonts w:ascii="Noto Sans" w:hAnsi="Noto Sans" w:cs="Noto Sans"/>
          <w:color w:val="000000"/>
          <w:sz w:val="18"/>
          <w:szCs w:val="18"/>
        </w:rPr>
        <w:t>In any of the preceding four calendar years </w:t>
      </w:r>
      <w:r>
        <w:rPr>
          <w:rStyle w:val="eop"/>
          <w:rFonts w:ascii="Noto Sans" w:hAnsi="Noto Sans" w:cs="Noto Sans"/>
          <w:color w:val="000000"/>
          <w:sz w:val="18"/>
          <w:szCs w:val="18"/>
        </w:rPr>
        <w:t> </w:t>
      </w:r>
    </w:p>
    <w:p w14:paraId="195A9176" w14:textId="77777777" w:rsidR="006C5A50" w:rsidRDefault="006C5A50" w:rsidP="006C5A50">
      <w:pPr>
        <w:pStyle w:val="paragraph"/>
        <w:spacing w:before="0" w:beforeAutospacing="0" w:after="0" w:afterAutospacing="0"/>
        <w:ind w:left="255"/>
        <w:jc w:val="both"/>
        <w:textAlignment w:val="baseline"/>
        <w:rPr>
          <w:rFonts w:ascii="Segoe UI" w:hAnsi="Segoe UI" w:cs="Segoe UI"/>
          <w:sz w:val="18"/>
          <w:szCs w:val="18"/>
        </w:rPr>
      </w:pPr>
      <w:r>
        <w:rPr>
          <w:rStyle w:val="normaltextrun"/>
          <w:rFonts w:ascii="Noto Sans" w:hAnsi="Noto Sans" w:cs="Noto Sans"/>
          <w:b/>
          <w:bCs/>
          <w:color w:val="000000"/>
          <w:sz w:val="18"/>
          <w:szCs w:val="18"/>
        </w:rPr>
        <w:t>b) Contributions </w:t>
      </w:r>
      <w:r>
        <w:rPr>
          <w:rStyle w:val="eop"/>
          <w:rFonts w:ascii="Noto Sans" w:hAnsi="Noto Sans" w:cs="Noto Sans"/>
          <w:color w:val="000000"/>
          <w:sz w:val="18"/>
          <w:szCs w:val="18"/>
        </w:rPr>
        <w:t> </w:t>
      </w:r>
    </w:p>
    <w:p w14:paraId="428B15A3" w14:textId="77777777" w:rsidR="006C5A50" w:rsidRDefault="006C5A50" w:rsidP="006C5A50">
      <w:pPr>
        <w:pStyle w:val="paragraph"/>
        <w:numPr>
          <w:ilvl w:val="0"/>
          <w:numId w:val="2"/>
        </w:numPr>
        <w:spacing w:before="0" w:beforeAutospacing="0" w:after="0" w:afterAutospacing="0"/>
        <w:ind w:left="1080" w:firstLine="0"/>
        <w:textAlignment w:val="baseline"/>
        <w:rPr>
          <w:rFonts w:ascii="Noto Sans" w:hAnsi="Noto Sans" w:cs="Noto Sans"/>
          <w:color w:val="000000"/>
          <w:sz w:val="18"/>
          <w:szCs w:val="18"/>
        </w:rPr>
      </w:pPr>
      <w:r>
        <w:rPr>
          <w:rStyle w:val="normaltextrun"/>
          <w:rFonts w:ascii="Noto Sans" w:hAnsi="Noto Sans" w:cs="Noto Sans"/>
          <w:color w:val="000000"/>
          <w:sz w:val="18"/>
          <w:szCs w:val="18"/>
        </w:rPr>
        <w:t>Lifetime limit: $40,000 </w:t>
      </w:r>
      <w:r>
        <w:rPr>
          <w:rStyle w:val="eop"/>
          <w:rFonts w:ascii="Noto Sans" w:hAnsi="Noto Sans" w:cs="Noto Sans"/>
          <w:color w:val="000000"/>
          <w:sz w:val="18"/>
          <w:szCs w:val="18"/>
        </w:rPr>
        <w:t> </w:t>
      </w:r>
    </w:p>
    <w:p w14:paraId="6CC9E9C6" w14:textId="77777777" w:rsidR="006C5A50" w:rsidRDefault="006C5A50" w:rsidP="006C5A50">
      <w:pPr>
        <w:pStyle w:val="paragraph"/>
        <w:numPr>
          <w:ilvl w:val="0"/>
          <w:numId w:val="2"/>
        </w:numPr>
        <w:spacing w:before="0" w:beforeAutospacing="0" w:after="0" w:afterAutospacing="0"/>
        <w:ind w:left="1080" w:firstLine="0"/>
        <w:textAlignment w:val="baseline"/>
        <w:rPr>
          <w:rFonts w:ascii="Noto Sans" w:hAnsi="Noto Sans" w:cs="Noto Sans"/>
          <w:color w:val="000000"/>
          <w:sz w:val="18"/>
          <w:szCs w:val="18"/>
        </w:rPr>
      </w:pPr>
      <w:r>
        <w:rPr>
          <w:rStyle w:val="normaltextrun"/>
          <w:rFonts w:ascii="Noto Sans" w:hAnsi="Noto Sans" w:cs="Noto Sans"/>
          <w:color w:val="000000"/>
          <w:sz w:val="18"/>
          <w:szCs w:val="18"/>
        </w:rPr>
        <w:t>Annual limit: $8,000 </w:t>
      </w:r>
      <w:r>
        <w:rPr>
          <w:rStyle w:val="eop"/>
          <w:rFonts w:ascii="Noto Sans" w:hAnsi="Noto Sans" w:cs="Noto Sans"/>
          <w:color w:val="000000"/>
          <w:sz w:val="18"/>
          <w:szCs w:val="18"/>
        </w:rPr>
        <w:t> </w:t>
      </w:r>
    </w:p>
    <w:p w14:paraId="191A4FC9" w14:textId="77777777" w:rsidR="006C5A50" w:rsidRDefault="006C5A50" w:rsidP="006C5A50">
      <w:pPr>
        <w:pStyle w:val="paragraph"/>
        <w:numPr>
          <w:ilvl w:val="0"/>
          <w:numId w:val="2"/>
        </w:numPr>
        <w:spacing w:before="0" w:beforeAutospacing="0" w:after="0" w:afterAutospacing="0"/>
        <w:ind w:left="1080" w:firstLine="0"/>
        <w:textAlignment w:val="baseline"/>
        <w:rPr>
          <w:rFonts w:ascii="Noto Sans" w:hAnsi="Noto Sans" w:cs="Noto Sans"/>
          <w:color w:val="000000"/>
          <w:sz w:val="18"/>
          <w:szCs w:val="18"/>
        </w:rPr>
      </w:pPr>
      <w:r>
        <w:rPr>
          <w:rStyle w:val="normaltextrun"/>
          <w:rFonts w:ascii="Noto Sans" w:hAnsi="Noto Sans" w:cs="Noto Sans"/>
          <w:color w:val="000000"/>
          <w:sz w:val="18"/>
          <w:szCs w:val="18"/>
        </w:rPr>
        <w:t>Note that unused annual contribution room cannot be carried forward </w:t>
      </w:r>
      <w:r>
        <w:rPr>
          <w:rStyle w:val="eop"/>
          <w:rFonts w:ascii="Noto Sans" w:hAnsi="Noto Sans" w:cs="Noto Sans"/>
          <w:color w:val="000000"/>
          <w:sz w:val="18"/>
          <w:szCs w:val="18"/>
        </w:rPr>
        <w:t> </w:t>
      </w:r>
    </w:p>
    <w:p w14:paraId="2173996E" w14:textId="77777777" w:rsidR="006C5A50" w:rsidRDefault="006C5A50" w:rsidP="006C5A50">
      <w:pPr>
        <w:pStyle w:val="paragraph"/>
        <w:numPr>
          <w:ilvl w:val="0"/>
          <w:numId w:val="2"/>
        </w:numPr>
        <w:spacing w:before="0" w:beforeAutospacing="0" w:after="0" w:afterAutospacing="0"/>
        <w:ind w:left="1080" w:firstLine="0"/>
        <w:textAlignment w:val="baseline"/>
        <w:rPr>
          <w:rFonts w:ascii="Noto Sans" w:hAnsi="Noto Sans" w:cs="Noto Sans"/>
          <w:color w:val="000000"/>
          <w:sz w:val="18"/>
          <w:szCs w:val="18"/>
        </w:rPr>
      </w:pPr>
      <w:r>
        <w:rPr>
          <w:rStyle w:val="normaltextrun"/>
          <w:rFonts w:ascii="Noto Sans" w:hAnsi="Noto Sans" w:cs="Noto Sans"/>
          <w:color w:val="000000"/>
          <w:sz w:val="18"/>
          <w:szCs w:val="18"/>
        </w:rPr>
        <w:t>Individuals can hold multiple FHSAs, but contributions cannot exceed their annual or lifetime limits </w:t>
      </w:r>
      <w:r>
        <w:rPr>
          <w:rStyle w:val="eop"/>
          <w:rFonts w:ascii="Noto Sans" w:hAnsi="Noto Sans" w:cs="Noto Sans"/>
          <w:color w:val="000000"/>
          <w:sz w:val="18"/>
          <w:szCs w:val="18"/>
        </w:rPr>
        <w:t> </w:t>
      </w:r>
    </w:p>
    <w:p w14:paraId="6AD1C868" w14:textId="77777777" w:rsidR="006C5A50" w:rsidRDefault="006C5A50" w:rsidP="006C5A50">
      <w:pPr>
        <w:pStyle w:val="paragraph"/>
        <w:numPr>
          <w:ilvl w:val="0"/>
          <w:numId w:val="2"/>
        </w:numPr>
        <w:spacing w:before="0" w:beforeAutospacing="0" w:after="0" w:afterAutospacing="0"/>
        <w:ind w:left="1080" w:firstLine="0"/>
        <w:textAlignment w:val="baseline"/>
        <w:rPr>
          <w:rFonts w:ascii="Noto Sans" w:hAnsi="Noto Sans" w:cs="Noto Sans"/>
          <w:color w:val="000000"/>
          <w:sz w:val="18"/>
          <w:szCs w:val="18"/>
        </w:rPr>
      </w:pPr>
      <w:r>
        <w:rPr>
          <w:rStyle w:val="normaltextrun"/>
          <w:rFonts w:ascii="Noto Sans" w:hAnsi="Noto Sans" w:cs="Noto Sans"/>
          <w:color w:val="000000"/>
          <w:sz w:val="18"/>
          <w:szCs w:val="18"/>
        </w:rPr>
        <w:t>Full annual contribution limit will become available starting in 2023 </w:t>
      </w:r>
      <w:r>
        <w:rPr>
          <w:rStyle w:val="eop"/>
          <w:rFonts w:ascii="Noto Sans" w:hAnsi="Noto Sans" w:cs="Noto Sans"/>
          <w:color w:val="000000"/>
          <w:sz w:val="18"/>
          <w:szCs w:val="18"/>
        </w:rPr>
        <w:t> </w:t>
      </w:r>
    </w:p>
    <w:p w14:paraId="0D022782" w14:textId="77777777" w:rsidR="006C5A50" w:rsidRDefault="006C5A50" w:rsidP="006C5A50">
      <w:pPr>
        <w:pStyle w:val="paragraph"/>
        <w:spacing w:before="0" w:beforeAutospacing="0" w:after="0" w:afterAutospacing="0"/>
        <w:textAlignment w:val="baseline"/>
        <w:rPr>
          <w:rFonts w:ascii="Segoe UI" w:hAnsi="Segoe UI" w:cs="Segoe UI"/>
          <w:color w:val="000000"/>
          <w:sz w:val="18"/>
          <w:szCs w:val="18"/>
        </w:rPr>
      </w:pPr>
      <w:r>
        <w:rPr>
          <w:rStyle w:val="eop"/>
          <w:rFonts w:ascii="Noto Sans" w:hAnsi="Noto Sans" w:cs="Noto Sans"/>
          <w:color w:val="000000"/>
          <w:sz w:val="18"/>
          <w:szCs w:val="18"/>
        </w:rPr>
        <w:t> </w:t>
      </w:r>
    </w:p>
    <w:p w14:paraId="26B26518" w14:textId="77777777" w:rsidR="006C5A50" w:rsidRDefault="006C5A50" w:rsidP="006C5A50">
      <w:pPr>
        <w:pStyle w:val="paragraph"/>
        <w:spacing w:before="0" w:beforeAutospacing="0" w:after="0" w:afterAutospacing="0"/>
        <w:ind w:left="255"/>
        <w:jc w:val="both"/>
        <w:textAlignment w:val="baseline"/>
        <w:rPr>
          <w:rFonts w:ascii="Segoe UI" w:hAnsi="Segoe UI" w:cs="Segoe UI"/>
          <w:sz w:val="18"/>
          <w:szCs w:val="18"/>
        </w:rPr>
      </w:pPr>
      <w:r>
        <w:rPr>
          <w:rStyle w:val="normaltextrun"/>
          <w:rFonts w:ascii="Noto Sans" w:hAnsi="Noto Sans" w:cs="Noto Sans"/>
          <w:b/>
          <w:bCs/>
          <w:color w:val="000000"/>
          <w:sz w:val="18"/>
          <w:szCs w:val="18"/>
        </w:rPr>
        <w:t>Contributions to the FHSA will be tax-deductible and income earned within the FHSA will not be subject to tax. </w:t>
      </w:r>
      <w:r>
        <w:rPr>
          <w:rStyle w:val="eop"/>
          <w:rFonts w:ascii="Noto Sans" w:hAnsi="Noto Sans" w:cs="Noto Sans"/>
          <w:color w:val="000000"/>
          <w:sz w:val="18"/>
          <w:szCs w:val="18"/>
        </w:rPr>
        <w:t> </w:t>
      </w:r>
    </w:p>
    <w:p w14:paraId="24DD0C68" w14:textId="77777777" w:rsidR="006C5A50" w:rsidRDefault="006C5A50" w:rsidP="006C5A50">
      <w:pPr>
        <w:pStyle w:val="paragraph"/>
        <w:spacing w:before="0" w:beforeAutospacing="0" w:after="0" w:afterAutospacing="0"/>
        <w:ind w:left="255"/>
        <w:jc w:val="both"/>
        <w:textAlignment w:val="baseline"/>
        <w:rPr>
          <w:rFonts w:ascii="Segoe UI" w:hAnsi="Segoe UI" w:cs="Segoe UI"/>
          <w:sz w:val="18"/>
          <w:szCs w:val="18"/>
        </w:rPr>
      </w:pPr>
      <w:r>
        <w:rPr>
          <w:rStyle w:val="normaltextrun"/>
          <w:rFonts w:ascii="Noto Sans" w:hAnsi="Noto Sans" w:cs="Noto Sans"/>
          <w:b/>
          <w:bCs/>
          <w:color w:val="000000"/>
          <w:sz w:val="18"/>
          <w:szCs w:val="18"/>
        </w:rPr>
        <w:t>c) Withdrawals </w:t>
      </w:r>
      <w:r>
        <w:rPr>
          <w:rStyle w:val="eop"/>
          <w:rFonts w:ascii="Noto Sans" w:hAnsi="Noto Sans" w:cs="Noto Sans"/>
          <w:color w:val="000000"/>
          <w:sz w:val="18"/>
          <w:szCs w:val="18"/>
        </w:rPr>
        <w:t> </w:t>
      </w:r>
    </w:p>
    <w:p w14:paraId="4F31BE95" w14:textId="77777777" w:rsidR="006C5A50" w:rsidRDefault="006C5A50" w:rsidP="006C5A50">
      <w:pPr>
        <w:pStyle w:val="paragraph"/>
        <w:numPr>
          <w:ilvl w:val="0"/>
          <w:numId w:val="3"/>
        </w:numPr>
        <w:spacing w:before="0" w:beforeAutospacing="0" w:after="0" w:afterAutospacing="0"/>
        <w:ind w:left="1065" w:firstLine="0"/>
        <w:jc w:val="both"/>
        <w:textAlignment w:val="baseline"/>
        <w:rPr>
          <w:rFonts w:ascii="Noto Sans" w:hAnsi="Noto Sans" w:cs="Noto Sans"/>
          <w:sz w:val="18"/>
          <w:szCs w:val="18"/>
        </w:rPr>
      </w:pPr>
      <w:r>
        <w:rPr>
          <w:rStyle w:val="normaltextrun"/>
          <w:rFonts w:ascii="Noto Sans" w:hAnsi="Noto Sans" w:cs="Noto Sans"/>
          <w:color w:val="000000"/>
          <w:sz w:val="18"/>
          <w:szCs w:val="18"/>
        </w:rPr>
        <w:t>Non-taxable withdrawals may be made only for purposes of purchasing a qualifying first home. Withdrawals for any other purpose will be taxable as income in the year withdrawn.</w:t>
      </w:r>
      <w:r>
        <w:rPr>
          <w:rStyle w:val="eop"/>
          <w:rFonts w:ascii="Noto Sans" w:hAnsi="Noto Sans" w:cs="Noto Sans"/>
          <w:color w:val="000000"/>
          <w:sz w:val="18"/>
          <w:szCs w:val="18"/>
        </w:rPr>
        <w:t> </w:t>
      </w:r>
    </w:p>
    <w:p w14:paraId="42693AF0" w14:textId="77777777" w:rsidR="006C5A50" w:rsidRDefault="006C5A50" w:rsidP="006C5A50">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5A06D6BD" w14:textId="77777777" w:rsidR="006C5A50" w:rsidRDefault="006C5A50" w:rsidP="006C5A50">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Noto Sans" w:hAnsi="Noto Sans" w:cs="Noto Sans"/>
          <w:b/>
          <w:bCs/>
          <w:color w:val="005386"/>
          <w:sz w:val="22"/>
          <w:szCs w:val="22"/>
        </w:rPr>
        <w:t>2) Home Buyers’ Tax Credit (HBTC) </w:t>
      </w:r>
      <w:r>
        <w:rPr>
          <w:rStyle w:val="eop"/>
          <w:rFonts w:ascii="Noto Sans" w:hAnsi="Noto Sans" w:cs="Noto Sans"/>
          <w:color w:val="005386"/>
          <w:sz w:val="22"/>
          <w:szCs w:val="22"/>
        </w:rPr>
        <w:t> </w:t>
      </w:r>
    </w:p>
    <w:p w14:paraId="5368EA6C" w14:textId="77777777" w:rsidR="006C5A50" w:rsidRDefault="006C5A50" w:rsidP="006C5A50">
      <w:pPr>
        <w:pStyle w:val="paragraph"/>
        <w:spacing w:before="0" w:beforeAutospacing="0" w:after="0" w:afterAutospacing="0"/>
        <w:jc w:val="both"/>
        <w:textAlignment w:val="baseline"/>
        <w:rPr>
          <w:rFonts w:ascii="Segoe UI" w:hAnsi="Segoe UI" w:cs="Segoe UI"/>
          <w:sz w:val="18"/>
          <w:szCs w:val="18"/>
        </w:rPr>
      </w:pPr>
      <w:r>
        <w:rPr>
          <w:rStyle w:val="normaltextrun"/>
          <w:rFonts w:ascii="Noto Sans" w:hAnsi="Noto Sans" w:cs="Noto Sans"/>
          <w:color w:val="000000"/>
          <w:sz w:val="18"/>
          <w:szCs w:val="18"/>
        </w:rPr>
        <w:t>Budget 2022 proposes a non-refundable Home Buyers’ Tax Credit of up to $1,500 to be available to first-time home buyers who purchase a qualifying home. Under the budget, the HBTC amount will be doubled to $10,000. Spouses and common law partners can split the value of the credit if the total credit does not exceed $1,500. </w:t>
      </w:r>
      <w:r>
        <w:rPr>
          <w:rStyle w:val="eop"/>
          <w:rFonts w:ascii="Noto Sans" w:hAnsi="Noto Sans" w:cs="Noto Sans"/>
          <w:color w:val="000000"/>
          <w:sz w:val="18"/>
          <w:szCs w:val="18"/>
        </w:rPr>
        <w:t> </w:t>
      </w:r>
    </w:p>
    <w:p w14:paraId="7AF6224C" w14:textId="77777777" w:rsidR="006C5A50" w:rsidRDefault="006C5A50" w:rsidP="006C5A50">
      <w:pPr>
        <w:pStyle w:val="paragraph"/>
        <w:spacing w:before="0" w:beforeAutospacing="0" w:after="0" w:afterAutospacing="0"/>
        <w:ind w:left="255"/>
        <w:jc w:val="both"/>
        <w:textAlignment w:val="baseline"/>
        <w:rPr>
          <w:rFonts w:ascii="Segoe UI" w:hAnsi="Segoe UI" w:cs="Segoe UI"/>
          <w:sz w:val="18"/>
          <w:szCs w:val="18"/>
        </w:rPr>
      </w:pPr>
      <w:r>
        <w:rPr>
          <w:rStyle w:val="normaltextrun"/>
          <w:rFonts w:ascii="Noto Sans" w:hAnsi="Noto Sans" w:cs="Noto Sans"/>
          <w:b/>
          <w:bCs/>
          <w:color w:val="000000"/>
          <w:sz w:val="18"/>
          <w:szCs w:val="18"/>
        </w:rPr>
        <w:t>a) First-time home buyer </w:t>
      </w:r>
      <w:r>
        <w:rPr>
          <w:rStyle w:val="eop"/>
          <w:rFonts w:ascii="Noto Sans" w:hAnsi="Noto Sans" w:cs="Noto Sans"/>
          <w:color w:val="000000"/>
          <w:sz w:val="18"/>
          <w:szCs w:val="18"/>
        </w:rPr>
        <w:t> </w:t>
      </w:r>
    </w:p>
    <w:p w14:paraId="4F8EC17C" w14:textId="77777777" w:rsidR="006C5A50" w:rsidRDefault="006C5A50" w:rsidP="006C5A50">
      <w:pPr>
        <w:pStyle w:val="paragraph"/>
        <w:numPr>
          <w:ilvl w:val="0"/>
          <w:numId w:val="4"/>
        </w:numPr>
        <w:spacing w:before="0" w:beforeAutospacing="0" w:after="0" w:afterAutospacing="0"/>
        <w:ind w:left="1065" w:firstLine="0"/>
        <w:jc w:val="both"/>
        <w:textAlignment w:val="baseline"/>
        <w:rPr>
          <w:rFonts w:ascii="Noto Sans" w:hAnsi="Noto Sans" w:cs="Noto Sans"/>
          <w:sz w:val="18"/>
          <w:szCs w:val="18"/>
        </w:rPr>
      </w:pPr>
      <w:r>
        <w:rPr>
          <w:rStyle w:val="normaltextrun"/>
          <w:rFonts w:ascii="Noto Sans" w:hAnsi="Noto Sans" w:cs="Noto Sans"/>
          <w:color w:val="000000"/>
          <w:sz w:val="18"/>
          <w:szCs w:val="18"/>
        </w:rPr>
        <w:t>A first-time home buyer is an individual (or their spouse or common law partner) who has not lived in another home owned in the calendar year of the home purchase, or any of the four preceding calendar years. An individual who may not be a first-time home buyer, but qualifies for the Disability Tax Credit, may be eligible for this HBTC. </w:t>
      </w:r>
      <w:r>
        <w:rPr>
          <w:rStyle w:val="eop"/>
          <w:rFonts w:ascii="Noto Sans" w:hAnsi="Noto Sans" w:cs="Noto Sans"/>
          <w:color w:val="000000"/>
          <w:sz w:val="18"/>
          <w:szCs w:val="18"/>
        </w:rPr>
        <w:t> </w:t>
      </w:r>
    </w:p>
    <w:p w14:paraId="32A17FE6" w14:textId="77777777" w:rsidR="006C5A50" w:rsidRDefault="006C5A50" w:rsidP="006C5A50">
      <w:pPr>
        <w:pStyle w:val="paragraph"/>
        <w:spacing w:before="0" w:beforeAutospacing="0" w:after="0" w:afterAutospacing="0"/>
        <w:ind w:left="255"/>
        <w:jc w:val="both"/>
        <w:textAlignment w:val="baseline"/>
        <w:rPr>
          <w:rFonts w:ascii="Segoe UI" w:hAnsi="Segoe UI" w:cs="Segoe UI"/>
          <w:sz w:val="18"/>
          <w:szCs w:val="18"/>
        </w:rPr>
      </w:pPr>
      <w:r>
        <w:rPr>
          <w:rStyle w:val="normaltextrun"/>
          <w:rFonts w:ascii="Noto Sans" w:hAnsi="Noto Sans" w:cs="Noto Sans"/>
          <w:b/>
          <w:bCs/>
          <w:color w:val="000000"/>
          <w:sz w:val="18"/>
          <w:szCs w:val="18"/>
        </w:rPr>
        <w:t>b) Qualifying home </w:t>
      </w:r>
      <w:r>
        <w:rPr>
          <w:rStyle w:val="eop"/>
          <w:rFonts w:ascii="Noto Sans" w:hAnsi="Noto Sans" w:cs="Noto Sans"/>
          <w:color w:val="000000"/>
          <w:sz w:val="18"/>
          <w:szCs w:val="18"/>
        </w:rPr>
        <w:t> </w:t>
      </w:r>
    </w:p>
    <w:p w14:paraId="78B469D3" w14:textId="77777777" w:rsidR="006C5A50" w:rsidRDefault="006C5A50" w:rsidP="006C5A50">
      <w:pPr>
        <w:pStyle w:val="paragraph"/>
        <w:numPr>
          <w:ilvl w:val="0"/>
          <w:numId w:val="5"/>
        </w:numPr>
        <w:spacing w:before="0" w:beforeAutospacing="0" w:after="0" w:afterAutospacing="0"/>
        <w:ind w:left="1065" w:firstLine="0"/>
        <w:jc w:val="both"/>
        <w:textAlignment w:val="baseline"/>
        <w:rPr>
          <w:rFonts w:ascii="Noto Sans" w:hAnsi="Noto Sans" w:cs="Noto Sans"/>
          <w:sz w:val="18"/>
          <w:szCs w:val="18"/>
        </w:rPr>
      </w:pPr>
      <w:r>
        <w:rPr>
          <w:rStyle w:val="normaltextrun"/>
          <w:rFonts w:ascii="Noto Sans" w:hAnsi="Noto Sans" w:cs="Noto Sans"/>
          <w:color w:val="000000"/>
          <w:sz w:val="18"/>
          <w:szCs w:val="18"/>
        </w:rPr>
        <w:t>This is a home that the individual or their spouse or common law partner intends to occupy no later than one year after purchase. </w:t>
      </w:r>
      <w:r>
        <w:rPr>
          <w:rStyle w:val="eop"/>
          <w:rFonts w:ascii="Noto Sans" w:hAnsi="Noto Sans" w:cs="Noto Sans"/>
          <w:color w:val="000000"/>
          <w:sz w:val="18"/>
          <w:szCs w:val="18"/>
        </w:rPr>
        <w:t> </w:t>
      </w:r>
    </w:p>
    <w:p w14:paraId="3C4CCA99" w14:textId="77777777" w:rsidR="006C5A50" w:rsidRDefault="006C5A50" w:rsidP="006C5A50">
      <w:pPr>
        <w:pStyle w:val="paragraph"/>
        <w:numPr>
          <w:ilvl w:val="0"/>
          <w:numId w:val="5"/>
        </w:numPr>
        <w:spacing w:before="0" w:beforeAutospacing="0" w:after="0" w:afterAutospacing="0"/>
        <w:ind w:left="1080" w:firstLine="0"/>
        <w:textAlignment w:val="baseline"/>
        <w:rPr>
          <w:rFonts w:ascii="Noto Sans" w:hAnsi="Noto Sans" w:cs="Noto Sans"/>
          <w:color w:val="000000"/>
          <w:sz w:val="18"/>
          <w:szCs w:val="18"/>
        </w:rPr>
      </w:pPr>
      <w:r>
        <w:rPr>
          <w:rStyle w:val="normaltextrun"/>
          <w:rFonts w:ascii="Noto Sans" w:hAnsi="Noto Sans" w:cs="Noto Sans"/>
          <w:color w:val="000000"/>
          <w:sz w:val="18"/>
          <w:szCs w:val="18"/>
        </w:rPr>
        <w:t>The eligible senior would be 65 years or older, at the end of the taxation year, including the end of the renovation period, or </w:t>
      </w:r>
      <w:r>
        <w:rPr>
          <w:rStyle w:val="eop"/>
          <w:rFonts w:ascii="Noto Sans" w:hAnsi="Noto Sans" w:cs="Noto Sans"/>
          <w:color w:val="000000"/>
          <w:sz w:val="18"/>
          <w:szCs w:val="18"/>
        </w:rPr>
        <w:t> </w:t>
      </w:r>
    </w:p>
    <w:p w14:paraId="69052EAA" w14:textId="77777777" w:rsidR="006C5A50" w:rsidRDefault="006C5A50" w:rsidP="006C5A50">
      <w:pPr>
        <w:pStyle w:val="paragraph"/>
        <w:numPr>
          <w:ilvl w:val="0"/>
          <w:numId w:val="5"/>
        </w:numPr>
        <w:spacing w:before="0" w:beforeAutospacing="0" w:after="0" w:afterAutospacing="0"/>
        <w:ind w:left="1080" w:firstLine="0"/>
        <w:textAlignment w:val="baseline"/>
        <w:rPr>
          <w:rFonts w:ascii="Noto Sans" w:hAnsi="Noto Sans" w:cs="Noto Sans"/>
          <w:color w:val="000000"/>
          <w:sz w:val="18"/>
          <w:szCs w:val="18"/>
        </w:rPr>
      </w:pPr>
      <w:r>
        <w:rPr>
          <w:rStyle w:val="normaltextrun"/>
          <w:rFonts w:ascii="Noto Sans" w:hAnsi="Noto Sans" w:cs="Noto Sans"/>
          <w:color w:val="000000"/>
          <w:sz w:val="18"/>
          <w:szCs w:val="18"/>
        </w:rPr>
        <w:t>Individuals 18 or older who are eligible for the Disability Tax Credit at the end of the taxation year, including the end of the renovation period. </w:t>
      </w:r>
      <w:r>
        <w:rPr>
          <w:rStyle w:val="eop"/>
          <w:rFonts w:ascii="Noto Sans" w:hAnsi="Noto Sans" w:cs="Noto Sans"/>
          <w:color w:val="000000"/>
          <w:sz w:val="18"/>
          <w:szCs w:val="18"/>
        </w:rPr>
        <w:t> </w:t>
      </w:r>
    </w:p>
    <w:p w14:paraId="06DC1CDB" w14:textId="77777777" w:rsidR="006C5A50" w:rsidRDefault="006C5A50" w:rsidP="006C5A50">
      <w:pPr>
        <w:pStyle w:val="paragraph"/>
        <w:numPr>
          <w:ilvl w:val="0"/>
          <w:numId w:val="6"/>
        </w:numPr>
        <w:spacing w:before="0" w:beforeAutospacing="0" w:after="0" w:afterAutospacing="0"/>
        <w:ind w:firstLine="720"/>
        <w:jc w:val="both"/>
        <w:textAlignment w:val="baseline"/>
        <w:rPr>
          <w:rFonts w:ascii="Noto Sans" w:hAnsi="Noto Sans" w:cs="Noto Sans"/>
          <w:sz w:val="18"/>
          <w:szCs w:val="18"/>
        </w:rPr>
      </w:pPr>
      <w:r>
        <w:rPr>
          <w:rStyle w:val="eop"/>
          <w:rFonts w:ascii="Noto Sans" w:hAnsi="Noto Sans" w:cs="Noto Sans"/>
          <w:sz w:val="18"/>
          <w:szCs w:val="18"/>
        </w:rPr>
        <w:t> </w:t>
      </w:r>
    </w:p>
    <w:p w14:paraId="454BC304" w14:textId="77777777" w:rsidR="006C5A50" w:rsidRDefault="006C5A50" w:rsidP="006C5A50">
      <w:pPr>
        <w:pStyle w:val="paragraph"/>
        <w:spacing w:before="0" w:beforeAutospacing="0" w:after="0" w:afterAutospacing="0"/>
        <w:jc w:val="both"/>
        <w:textAlignment w:val="baseline"/>
        <w:rPr>
          <w:rFonts w:ascii="Segoe UI" w:hAnsi="Segoe UI" w:cs="Segoe UI"/>
          <w:sz w:val="18"/>
          <w:szCs w:val="18"/>
        </w:rPr>
      </w:pPr>
      <w:r>
        <w:rPr>
          <w:rStyle w:val="normaltextrun"/>
          <w:rFonts w:ascii="Noto Sans" w:hAnsi="Noto Sans" w:cs="Noto Sans"/>
          <w:b/>
          <w:bCs/>
          <w:color w:val="005386"/>
          <w:sz w:val="22"/>
          <w:szCs w:val="22"/>
        </w:rPr>
        <w:t>3) Multigenerational Home Renovation Tax Credit (MHRTC) </w:t>
      </w:r>
      <w:r>
        <w:rPr>
          <w:rStyle w:val="eop"/>
          <w:rFonts w:ascii="Noto Sans" w:hAnsi="Noto Sans" w:cs="Noto Sans"/>
          <w:color w:val="005386"/>
          <w:sz w:val="22"/>
          <w:szCs w:val="22"/>
        </w:rPr>
        <w:t> </w:t>
      </w:r>
    </w:p>
    <w:p w14:paraId="068558E8" w14:textId="77777777" w:rsidR="006C5A50" w:rsidRDefault="006C5A50" w:rsidP="006C5A50">
      <w:pPr>
        <w:pStyle w:val="paragraph"/>
        <w:spacing w:before="0" w:beforeAutospacing="0" w:after="0" w:afterAutospacing="0"/>
        <w:jc w:val="both"/>
        <w:textAlignment w:val="baseline"/>
        <w:rPr>
          <w:rFonts w:ascii="Segoe UI" w:hAnsi="Segoe UI" w:cs="Segoe UI"/>
          <w:sz w:val="18"/>
          <w:szCs w:val="18"/>
        </w:rPr>
      </w:pPr>
      <w:r>
        <w:rPr>
          <w:rStyle w:val="normaltextrun"/>
          <w:rFonts w:ascii="Noto Sans" w:hAnsi="Noto Sans" w:cs="Noto Sans"/>
          <w:color w:val="000000"/>
          <w:sz w:val="18"/>
          <w:szCs w:val="18"/>
        </w:rPr>
        <w:t>Budget 2022 introduces a new refundable Multigenerational Home Renovation Tax Credit (MHRTC), which would account for certain eligible expenses for a qualifying renovation – meaning a renovation that creates a secondary dwelling unit for a senior or a person with a disability to live with a relative. Only one qualifying renovation is permitted for the MHRTC per individual over that individual’s lifetime. </w:t>
      </w:r>
      <w:r>
        <w:rPr>
          <w:rStyle w:val="eop"/>
          <w:rFonts w:ascii="Noto Sans" w:hAnsi="Noto Sans" w:cs="Noto Sans"/>
          <w:color w:val="000000"/>
          <w:sz w:val="18"/>
          <w:szCs w:val="18"/>
        </w:rPr>
        <w:t> </w:t>
      </w:r>
    </w:p>
    <w:p w14:paraId="44B077B3" w14:textId="77777777" w:rsidR="006C5A50" w:rsidRDefault="006C5A50" w:rsidP="006C5A50">
      <w:pPr>
        <w:pStyle w:val="paragraph"/>
        <w:numPr>
          <w:ilvl w:val="0"/>
          <w:numId w:val="7"/>
        </w:numPr>
        <w:spacing w:before="0" w:beforeAutospacing="0" w:after="0" w:afterAutospacing="0"/>
        <w:ind w:left="1080" w:firstLine="0"/>
        <w:jc w:val="both"/>
        <w:textAlignment w:val="baseline"/>
        <w:rPr>
          <w:rFonts w:ascii="Noto Sans" w:hAnsi="Noto Sans" w:cs="Noto Sans"/>
          <w:sz w:val="18"/>
          <w:szCs w:val="18"/>
        </w:rPr>
      </w:pPr>
      <w:r>
        <w:rPr>
          <w:rStyle w:val="normaltextrun"/>
          <w:rFonts w:ascii="Noto Sans" w:hAnsi="Noto Sans" w:cs="Noto Sans"/>
          <w:color w:val="000000"/>
          <w:sz w:val="18"/>
          <w:szCs w:val="18"/>
        </w:rPr>
        <w:t>A secondary unit is defined as a self-contained unit that has a private entrance, kitchen, bathroom and sleeping area. </w:t>
      </w:r>
      <w:r>
        <w:rPr>
          <w:rStyle w:val="eop"/>
          <w:rFonts w:ascii="Noto Sans" w:hAnsi="Noto Sans" w:cs="Noto Sans"/>
          <w:color w:val="000000"/>
          <w:sz w:val="18"/>
          <w:szCs w:val="18"/>
        </w:rPr>
        <w:t> </w:t>
      </w:r>
    </w:p>
    <w:p w14:paraId="40ECE971" w14:textId="77777777" w:rsidR="006C5A50" w:rsidRDefault="006C5A50" w:rsidP="006C5A50">
      <w:pPr>
        <w:pStyle w:val="paragraph"/>
        <w:spacing w:before="0" w:beforeAutospacing="0" w:after="0" w:afterAutospacing="0"/>
        <w:jc w:val="both"/>
        <w:textAlignment w:val="baseline"/>
        <w:rPr>
          <w:rFonts w:ascii="Segoe UI" w:hAnsi="Segoe UI" w:cs="Segoe UI"/>
          <w:sz w:val="18"/>
          <w:szCs w:val="18"/>
        </w:rPr>
      </w:pPr>
      <w:r>
        <w:rPr>
          <w:rStyle w:val="normaltextrun"/>
          <w:rFonts w:ascii="Noto Sans" w:hAnsi="Noto Sans" w:cs="Noto Sans"/>
          <w:color w:val="000000"/>
          <w:sz w:val="18"/>
          <w:szCs w:val="18"/>
        </w:rPr>
        <w:t>The MHRTC will be applicable for renovations occurring after January 1, 2023. </w:t>
      </w:r>
      <w:r>
        <w:rPr>
          <w:rStyle w:val="eop"/>
          <w:rFonts w:ascii="Noto Sans" w:hAnsi="Noto Sans" w:cs="Noto Sans"/>
          <w:color w:val="000000"/>
          <w:sz w:val="18"/>
          <w:szCs w:val="18"/>
        </w:rPr>
        <w:t> </w:t>
      </w:r>
    </w:p>
    <w:p w14:paraId="5BC45E9A" w14:textId="77777777" w:rsidR="006C5A50" w:rsidRDefault="006C5A50" w:rsidP="006C5A50">
      <w:pPr>
        <w:pStyle w:val="paragraph"/>
        <w:numPr>
          <w:ilvl w:val="0"/>
          <w:numId w:val="8"/>
        </w:numPr>
        <w:spacing w:before="0" w:beforeAutospacing="0" w:after="0" w:afterAutospacing="0"/>
        <w:ind w:left="990" w:firstLine="0"/>
        <w:textAlignment w:val="baseline"/>
        <w:rPr>
          <w:rFonts w:ascii="Noto Sans" w:hAnsi="Noto Sans" w:cs="Noto Sans"/>
          <w:color w:val="000000"/>
          <w:sz w:val="18"/>
          <w:szCs w:val="18"/>
        </w:rPr>
      </w:pPr>
      <w:r>
        <w:rPr>
          <w:rStyle w:val="normaltextrun"/>
          <w:rFonts w:ascii="Noto Sans" w:hAnsi="Noto Sans" w:cs="Noto Sans"/>
          <w:b/>
          <w:bCs/>
          <w:color w:val="000000"/>
          <w:sz w:val="18"/>
          <w:szCs w:val="18"/>
        </w:rPr>
        <w:t>Eligibility </w:t>
      </w:r>
      <w:r>
        <w:rPr>
          <w:rStyle w:val="eop"/>
          <w:rFonts w:ascii="Noto Sans" w:hAnsi="Noto Sans" w:cs="Noto Sans"/>
          <w:color w:val="000000"/>
          <w:sz w:val="18"/>
          <w:szCs w:val="18"/>
        </w:rPr>
        <w:t> </w:t>
      </w:r>
    </w:p>
    <w:p w14:paraId="176E2FE3" w14:textId="77777777" w:rsidR="006C5A50" w:rsidRDefault="006C5A50" w:rsidP="006C5A50">
      <w:pPr>
        <w:pStyle w:val="paragraph"/>
        <w:numPr>
          <w:ilvl w:val="0"/>
          <w:numId w:val="9"/>
        </w:numPr>
        <w:spacing w:before="0" w:beforeAutospacing="0" w:after="0" w:afterAutospacing="0"/>
        <w:ind w:left="1080" w:firstLine="0"/>
        <w:textAlignment w:val="baseline"/>
        <w:rPr>
          <w:rFonts w:ascii="Noto Sans" w:hAnsi="Noto Sans" w:cs="Noto Sans"/>
          <w:color w:val="000000"/>
          <w:sz w:val="18"/>
          <w:szCs w:val="18"/>
        </w:rPr>
      </w:pPr>
      <w:r>
        <w:rPr>
          <w:rStyle w:val="normaltextrun"/>
          <w:rFonts w:ascii="Noto Sans" w:hAnsi="Noto Sans" w:cs="Noto Sans"/>
          <w:color w:val="000000"/>
          <w:sz w:val="18"/>
          <w:szCs w:val="18"/>
        </w:rPr>
        <w:t xml:space="preserve">A qualifying relative is an individual 18 years or older at the end of the taxation year, including the end of the renovation period. These individuals include the following relatives of the </w:t>
      </w:r>
      <w:r>
        <w:rPr>
          <w:rStyle w:val="normaltextrun"/>
          <w:rFonts w:ascii="Noto Sans" w:hAnsi="Noto Sans" w:cs="Noto Sans"/>
          <w:color w:val="000000"/>
          <w:sz w:val="18"/>
          <w:szCs w:val="18"/>
        </w:rPr>
        <w:lastRenderedPageBreak/>
        <w:t>eligible person: Parent, Grandparent, Child, Grandchild, Brother, Sister, Aunt, Uncle, Niece, Nephew </w:t>
      </w:r>
      <w:r>
        <w:rPr>
          <w:rStyle w:val="eop"/>
          <w:rFonts w:ascii="Noto Sans" w:hAnsi="Noto Sans" w:cs="Noto Sans"/>
          <w:color w:val="000000"/>
          <w:sz w:val="18"/>
          <w:szCs w:val="18"/>
        </w:rPr>
        <w:t> </w:t>
      </w:r>
    </w:p>
    <w:p w14:paraId="792FC731" w14:textId="77777777" w:rsidR="006C5A50" w:rsidRDefault="006C5A50" w:rsidP="006C5A50">
      <w:pPr>
        <w:pStyle w:val="paragraph"/>
        <w:spacing w:before="0" w:beforeAutospacing="0" w:after="0" w:afterAutospacing="0"/>
        <w:ind w:left="255"/>
        <w:jc w:val="both"/>
        <w:textAlignment w:val="baseline"/>
        <w:rPr>
          <w:rFonts w:ascii="Segoe UI" w:hAnsi="Segoe UI" w:cs="Segoe UI"/>
          <w:sz w:val="18"/>
          <w:szCs w:val="18"/>
        </w:rPr>
      </w:pPr>
      <w:r>
        <w:rPr>
          <w:rStyle w:val="normaltextrun"/>
          <w:rFonts w:ascii="Noto Sans" w:hAnsi="Noto Sans" w:cs="Noto Sans"/>
          <w:b/>
          <w:bCs/>
          <w:color w:val="000000"/>
          <w:sz w:val="18"/>
          <w:szCs w:val="18"/>
        </w:rPr>
        <w:t>b) Eligible claims </w:t>
      </w:r>
      <w:r>
        <w:rPr>
          <w:rStyle w:val="eop"/>
          <w:rFonts w:ascii="Noto Sans" w:hAnsi="Noto Sans" w:cs="Noto Sans"/>
          <w:color w:val="000000"/>
          <w:sz w:val="18"/>
          <w:szCs w:val="18"/>
        </w:rPr>
        <w:t> </w:t>
      </w:r>
    </w:p>
    <w:p w14:paraId="38F997B1" w14:textId="77777777" w:rsidR="006C5A50" w:rsidRDefault="006C5A50" w:rsidP="006C5A50">
      <w:pPr>
        <w:pStyle w:val="paragraph"/>
        <w:numPr>
          <w:ilvl w:val="0"/>
          <w:numId w:val="10"/>
        </w:numPr>
        <w:spacing w:before="0" w:beforeAutospacing="0" w:after="0" w:afterAutospacing="0"/>
        <w:ind w:left="1065" w:firstLine="0"/>
        <w:jc w:val="both"/>
        <w:textAlignment w:val="baseline"/>
        <w:rPr>
          <w:rFonts w:ascii="Noto Sans" w:hAnsi="Noto Sans" w:cs="Noto Sans"/>
          <w:sz w:val="18"/>
          <w:szCs w:val="18"/>
        </w:rPr>
      </w:pPr>
      <w:r>
        <w:rPr>
          <w:rStyle w:val="normaltextrun"/>
          <w:rFonts w:ascii="Noto Sans" w:hAnsi="Noto Sans" w:cs="Noto Sans"/>
          <w:color w:val="000000"/>
          <w:sz w:val="18"/>
          <w:szCs w:val="18"/>
        </w:rPr>
        <w:t>The MHRTC can be claimed by the following persons: An individual who ordinarily resides or intends to ordinarily reside in the property within 12 months of the renovation being completed. This could be an eligible person, the spouse or common law partner of an eligible person, a qualifying relative, or a qualifying relative who owns the house. </w:t>
      </w:r>
      <w:r>
        <w:rPr>
          <w:rStyle w:val="eop"/>
          <w:rFonts w:ascii="Noto Sans" w:hAnsi="Noto Sans" w:cs="Noto Sans"/>
          <w:color w:val="000000"/>
          <w:sz w:val="18"/>
          <w:szCs w:val="18"/>
        </w:rPr>
        <w:t> </w:t>
      </w:r>
    </w:p>
    <w:p w14:paraId="5A3D2290" w14:textId="77777777" w:rsidR="006C5A50" w:rsidRDefault="006C5A50" w:rsidP="006C5A50">
      <w:pPr>
        <w:pStyle w:val="paragraph"/>
        <w:numPr>
          <w:ilvl w:val="0"/>
          <w:numId w:val="10"/>
        </w:numPr>
        <w:spacing w:before="0" w:beforeAutospacing="0" w:after="0" w:afterAutospacing="0"/>
        <w:ind w:left="1065" w:firstLine="0"/>
        <w:jc w:val="both"/>
        <w:textAlignment w:val="baseline"/>
        <w:rPr>
          <w:rFonts w:ascii="Noto Sans" w:hAnsi="Noto Sans" w:cs="Noto Sans"/>
          <w:sz w:val="18"/>
          <w:szCs w:val="18"/>
        </w:rPr>
      </w:pPr>
      <w:r>
        <w:rPr>
          <w:rStyle w:val="normaltextrun"/>
          <w:rFonts w:ascii="Noto Sans" w:hAnsi="Noto Sans" w:cs="Noto Sans"/>
          <w:color w:val="000000"/>
          <w:sz w:val="18"/>
          <w:szCs w:val="18"/>
        </w:rPr>
        <w:t>Claims cannot exceed $50,000 of qualifying renovations, irrespective of the number of claimants. </w:t>
      </w:r>
      <w:r>
        <w:rPr>
          <w:rStyle w:val="eop"/>
          <w:rFonts w:ascii="Noto Sans" w:hAnsi="Noto Sans" w:cs="Noto Sans"/>
          <w:color w:val="000000"/>
          <w:sz w:val="18"/>
          <w:szCs w:val="18"/>
        </w:rPr>
        <w:t> </w:t>
      </w:r>
    </w:p>
    <w:p w14:paraId="7663D02A" w14:textId="77777777" w:rsidR="006C5A50" w:rsidRDefault="006C5A50" w:rsidP="006C5A50">
      <w:pPr>
        <w:pStyle w:val="paragraph"/>
        <w:spacing w:before="0" w:beforeAutospacing="0" w:after="0" w:afterAutospacing="0"/>
        <w:ind w:left="255"/>
        <w:jc w:val="both"/>
        <w:textAlignment w:val="baseline"/>
        <w:rPr>
          <w:rFonts w:ascii="Segoe UI" w:hAnsi="Segoe UI" w:cs="Segoe UI"/>
          <w:sz w:val="18"/>
          <w:szCs w:val="18"/>
        </w:rPr>
      </w:pPr>
      <w:r>
        <w:rPr>
          <w:rStyle w:val="normaltextrun"/>
          <w:rFonts w:ascii="Noto Sans" w:hAnsi="Noto Sans" w:cs="Noto Sans"/>
          <w:b/>
          <w:bCs/>
          <w:color w:val="000000"/>
          <w:sz w:val="18"/>
          <w:szCs w:val="18"/>
        </w:rPr>
        <w:t>c) Eligible dwelling </w:t>
      </w:r>
      <w:r>
        <w:rPr>
          <w:rStyle w:val="eop"/>
          <w:rFonts w:ascii="Noto Sans" w:hAnsi="Noto Sans" w:cs="Noto Sans"/>
          <w:color w:val="000000"/>
          <w:sz w:val="18"/>
          <w:szCs w:val="18"/>
        </w:rPr>
        <w:t> </w:t>
      </w:r>
    </w:p>
    <w:p w14:paraId="6E35E400" w14:textId="77777777" w:rsidR="006C5A50" w:rsidRDefault="006C5A50" w:rsidP="006C5A50">
      <w:pPr>
        <w:pStyle w:val="paragraph"/>
        <w:numPr>
          <w:ilvl w:val="0"/>
          <w:numId w:val="11"/>
        </w:numPr>
        <w:spacing w:before="0" w:beforeAutospacing="0" w:after="0" w:afterAutospacing="0"/>
        <w:ind w:left="1065" w:firstLine="0"/>
        <w:jc w:val="both"/>
        <w:textAlignment w:val="baseline"/>
        <w:rPr>
          <w:rFonts w:ascii="Noto Sans" w:hAnsi="Noto Sans" w:cs="Noto Sans"/>
          <w:sz w:val="18"/>
          <w:szCs w:val="18"/>
        </w:rPr>
      </w:pPr>
      <w:r>
        <w:rPr>
          <w:rStyle w:val="normaltextrun"/>
          <w:rFonts w:ascii="Noto Sans" w:hAnsi="Noto Sans" w:cs="Noto Sans"/>
          <w:color w:val="000000"/>
          <w:sz w:val="18"/>
          <w:szCs w:val="18"/>
        </w:rPr>
        <w:t xml:space="preserve">This is a unit that is owned either solely or jointly by an eligible person, their spouse or common law partner, or </w:t>
      </w:r>
      <w:proofErr w:type="gramStart"/>
      <w:r>
        <w:rPr>
          <w:rStyle w:val="normaltextrun"/>
          <w:rFonts w:ascii="Noto Sans" w:hAnsi="Noto Sans" w:cs="Noto Sans"/>
          <w:color w:val="000000"/>
          <w:sz w:val="18"/>
          <w:szCs w:val="18"/>
        </w:rPr>
        <w:t>in regard to</w:t>
      </w:r>
      <w:proofErr w:type="gramEnd"/>
      <w:r>
        <w:rPr>
          <w:rStyle w:val="normaltextrun"/>
          <w:rFonts w:ascii="Noto Sans" w:hAnsi="Noto Sans" w:cs="Noto Sans"/>
          <w:color w:val="000000"/>
          <w:sz w:val="18"/>
          <w:szCs w:val="18"/>
        </w:rPr>
        <w:t xml:space="preserve"> a qualifying relative, if that individual ordinarily resides or intends to ordinarily reside in the property within 12 months of the renovation being completed. </w:t>
      </w:r>
      <w:r>
        <w:rPr>
          <w:rStyle w:val="eop"/>
          <w:rFonts w:ascii="Noto Sans" w:hAnsi="Noto Sans" w:cs="Noto Sans"/>
          <w:color w:val="000000"/>
          <w:sz w:val="18"/>
          <w:szCs w:val="18"/>
        </w:rPr>
        <w:t> </w:t>
      </w:r>
    </w:p>
    <w:p w14:paraId="2478C0DF" w14:textId="77777777" w:rsidR="006C5A50" w:rsidRDefault="006C5A50" w:rsidP="006C5A50">
      <w:pPr>
        <w:pStyle w:val="paragraph"/>
        <w:spacing w:before="0" w:beforeAutospacing="0" w:after="0" w:afterAutospacing="0"/>
        <w:ind w:left="255"/>
        <w:jc w:val="both"/>
        <w:textAlignment w:val="baseline"/>
        <w:rPr>
          <w:rFonts w:ascii="Segoe UI" w:hAnsi="Segoe UI" w:cs="Segoe UI"/>
          <w:sz w:val="18"/>
          <w:szCs w:val="18"/>
        </w:rPr>
      </w:pPr>
      <w:r>
        <w:rPr>
          <w:rStyle w:val="normaltextrun"/>
          <w:rFonts w:ascii="Noto Sans" w:hAnsi="Noto Sans" w:cs="Noto Sans"/>
          <w:b/>
          <w:bCs/>
          <w:color w:val="000000"/>
          <w:sz w:val="18"/>
          <w:szCs w:val="18"/>
        </w:rPr>
        <w:t>d) Qualifying renovation </w:t>
      </w:r>
      <w:r>
        <w:rPr>
          <w:rStyle w:val="eop"/>
          <w:rFonts w:ascii="Noto Sans" w:hAnsi="Noto Sans" w:cs="Noto Sans"/>
          <w:color w:val="000000"/>
          <w:sz w:val="18"/>
          <w:szCs w:val="18"/>
        </w:rPr>
        <w:t> </w:t>
      </w:r>
    </w:p>
    <w:p w14:paraId="478C0201" w14:textId="77777777" w:rsidR="006C5A50" w:rsidRDefault="006C5A50" w:rsidP="006C5A50">
      <w:pPr>
        <w:pStyle w:val="paragraph"/>
        <w:numPr>
          <w:ilvl w:val="0"/>
          <w:numId w:val="12"/>
        </w:numPr>
        <w:spacing w:before="0" w:beforeAutospacing="0" w:after="0" w:afterAutospacing="0"/>
        <w:ind w:left="1065" w:firstLine="0"/>
        <w:jc w:val="both"/>
        <w:textAlignment w:val="baseline"/>
        <w:rPr>
          <w:rFonts w:ascii="Noto Sans" w:hAnsi="Noto Sans" w:cs="Noto Sans"/>
          <w:sz w:val="18"/>
          <w:szCs w:val="18"/>
        </w:rPr>
      </w:pPr>
      <w:r>
        <w:rPr>
          <w:rStyle w:val="normaltextrun"/>
          <w:rFonts w:ascii="Noto Sans" w:hAnsi="Noto Sans" w:cs="Noto Sans"/>
          <w:color w:val="000000"/>
          <w:sz w:val="18"/>
          <w:szCs w:val="18"/>
        </w:rPr>
        <w:t xml:space="preserve">Qualifying renovation must be of:  </w:t>
      </w:r>
      <w:r>
        <w:rPr>
          <w:rStyle w:val="normaltextrun"/>
          <w:rFonts w:ascii="Noto Sans" w:hAnsi="Noto Sans" w:cs="Noto Sans"/>
          <w:sz w:val="18"/>
          <w:szCs w:val="18"/>
        </w:rPr>
        <w:t>An enduring nature and integral to the dwelling, and result in the creation of a secondary unit within the dwelling </w:t>
      </w:r>
      <w:r>
        <w:rPr>
          <w:rStyle w:val="eop"/>
          <w:rFonts w:ascii="Noto Sans" w:hAnsi="Noto Sans" w:cs="Noto Sans"/>
          <w:sz w:val="18"/>
          <w:szCs w:val="18"/>
        </w:rPr>
        <w:t> </w:t>
      </w:r>
    </w:p>
    <w:p w14:paraId="6135B5C8" w14:textId="77777777" w:rsidR="006C5A50" w:rsidRDefault="006C5A50" w:rsidP="006C5A50">
      <w:pPr>
        <w:pStyle w:val="paragraph"/>
        <w:spacing w:before="0" w:beforeAutospacing="0" w:after="0" w:afterAutospacing="0"/>
        <w:textAlignment w:val="baseline"/>
        <w:rPr>
          <w:rFonts w:ascii="Segoe UI" w:hAnsi="Segoe UI" w:cs="Segoe UI"/>
          <w:color w:val="000000"/>
          <w:sz w:val="18"/>
          <w:szCs w:val="18"/>
        </w:rPr>
      </w:pPr>
      <w:r>
        <w:rPr>
          <w:rStyle w:val="normaltextrun"/>
          <w:rFonts w:ascii="Noto Sans" w:hAnsi="Noto Sans" w:cs="Noto Sans"/>
          <w:color w:val="000000"/>
          <w:sz w:val="18"/>
          <w:szCs w:val="18"/>
        </w:rPr>
        <w:t xml:space="preserve">    </w:t>
      </w:r>
      <w:r>
        <w:rPr>
          <w:rStyle w:val="normaltextrun"/>
          <w:rFonts w:ascii="Noto Sans" w:hAnsi="Noto Sans" w:cs="Noto Sans"/>
          <w:b/>
          <w:bCs/>
          <w:color w:val="000000"/>
          <w:sz w:val="18"/>
          <w:szCs w:val="18"/>
        </w:rPr>
        <w:t>e) Renovation period </w:t>
      </w:r>
      <w:r>
        <w:rPr>
          <w:rStyle w:val="eop"/>
          <w:rFonts w:ascii="Noto Sans" w:hAnsi="Noto Sans" w:cs="Noto Sans"/>
          <w:color w:val="000000"/>
          <w:sz w:val="18"/>
          <w:szCs w:val="18"/>
        </w:rPr>
        <w:t> </w:t>
      </w:r>
    </w:p>
    <w:p w14:paraId="648B9631" w14:textId="77777777" w:rsidR="006C5A50" w:rsidRDefault="006C5A50" w:rsidP="006C5A50">
      <w:pPr>
        <w:pStyle w:val="paragraph"/>
        <w:numPr>
          <w:ilvl w:val="0"/>
          <w:numId w:val="13"/>
        </w:numPr>
        <w:spacing w:before="0" w:beforeAutospacing="0" w:after="0" w:afterAutospacing="0"/>
        <w:ind w:left="1065" w:firstLine="0"/>
        <w:jc w:val="both"/>
        <w:textAlignment w:val="baseline"/>
        <w:rPr>
          <w:rFonts w:ascii="Noto Sans" w:hAnsi="Noto Sans" w:cs="Noto Sans"/>
          <w:sz w:val="18"/>
          <w:szCs w:val="18"/>
        </w:rPr>
      </w:pPr>
      <w:r>
        <w:rPr>
          <w:rStyle w:val="normaltextrun"/>
          <w:rFonts w:ascii="Noto Sans" w:hAnsi="Noto Sans" w:cs="Noto Sans"/>
          <w:color w:val="000000"/>
          <w:sz w:val="18"/>
          <w:szCs w:val="18"/>
        </w:rPr>
        <w:t>Starts when the building permit is applied for and concludes when the renovation passes a final inspection and proof of completion. </w:t>
      </w:r>
      <w:r>
        <w:rPr>
          <w:rStyle w:val="eop"/>
          <w:rFonts w:ascii="Noto Sans" w:hAnsi="Noto Sans" w:cs="Noto Sans"/>
          <w:color w:val="000000"/>
          <w:sz w:val="18"/>
          <w:szCs w:val="18"/>
        </w:rPr>
        <w:t> </w:t>
      </w:r>
    </w:p>
    <w:p w14:paraId="5A0DBC27" w14:textId="77777777" w:rsidR="006C5A50" w:rsidRDefault="006C5A50" w:rsidP="006C5A50">
      <w:pPr>
        <w:pStyle w:val="paragraph"/>
        <w:spacing w:before="0" w:beforeAutospacing="0" w:after="0" w:afterAutospacing="0"/>
        <w:ind w:left="255"/>
        <w:jc w:val="both"/>
        <w:textAlignment w:val="baseline"/>
        <w:rPr>
          <w:rFonts w:ascii="Segoe UI" w:hAnsi="Segoe UI" w:cs="Segoe UI"/>
          <w:sz w:val="18"/>
          <w:szCs w:val="18"/>
        </w:rPr>
      </w:pPr>
      <w:r>
        <w:rPr>
          <w:rStyle w:val="normaltextrun"/>
          <w:rFonts w:ascii="Noto Sans" w:hAnsi="Noto Sans" w:cs="Noto Sans"/>
          <w:b/>
          <w:bCs/>
          <w:color w:val="000000"/>
          <w:sz w:val="18"/>
          <w:szCs w:val="18"/>
        </w:rPr>
        <w:t>f) Eligible expenses</w:t>
      </w:r>
      <w:r>
        <w:rPr>
          <w:rStyle w:val="eop"/>
          <w:rFonts w:ascii="Noto Sans" w:hAnsi="Noto Sans" w:cs="Noto Sans"/>
          <w:color w:val="000000"/>
          <w:sz w:val="18"/>
          <w:szCs w:val="18"/>
        </w:rPr>
        <w:t> </w:t>
      </w:r>
    </w:p>
    <w:p w14:paraId="5BF802A7" w14:textId="77777777" w:rsidR="006C5A50" w:rsidRDefault="006C5A50" w:rsidP="006C5A50">
      <w:pPr>
        <w:pStyle w:val="paragraph"/>
        <w:numPr>
          <w:ilvl w:val="0"/>
          <w:numId w:val="14"/>
        </w:numPr>
        <w:spacing w:before="0" w:beforeAutospacing="0" w:after="0" w:afterAutospacing="0"/>
        <w:ind w:left="1065" w:firstLine="0"/>
        <w:jc w:val="both"/>
        <w:textAlignment w:val="baseline"/>
        <w:rPr>
          <w:rFonts w:ascii="Noto Sans" w:hAnsi="Noto Sans" w:cs="Noto Sans"/>
          <w:sz w:val="18"/>
          <w:szCs w:val="18"/>
        </w:rPr>
      </w:pPr>
      <w:r>
        <w:rPr>
          <w:rStyle w:val="normaltextrun"/>
          <w:rFonts w:ascii="Noto Sans" w:hAnsi="Noto Sans" w:cs="Noto Sans"/>
          <w:color w:val="000000"/>
          <w:sz w:val="18"/>
          <w:szCs w:val="18"/>
        </w:rPr>
        <w:t xml:space="preserve">Include: </w:t>
      </w:r>
      <w:r>
        <w:rPr>
          <w:rStyle w:val="normaltextrun"/>
          <w:rFonts w:ascii="Noto Sans" w:hAnsi="Noto Sans" w:cs="Noto Sans"/>
          <w:sz w:val="18"/>
          <w:szCs w:val="18"/>
        </w:rPr>
        <w:t>Cost of labour, Building Materials, Fixtures, Equipment rentals, Professional services, Permits </w:t>
      </w:r>
      <w:r>
        <w:rPr>
          <w:rStyle w:val="eop"/>
          <w:rFonts w:ascii="Noto Sans" w:hAnsi="Noto Sans" w:cs="Noto Sans"/>
          <w:sz w:val="18"/>
          <w:szCs w:val="18"/>
        </w:rPr>
        <w:t> </w:t>
      </w:r>
    </w:p>
    <w:p w14:paraId="548A9C61" w14:textId="77777777" w:rsidR="006C5A50" w:rsidRDefault="006C5A50" w:rsidP="006C5A50">
      <w:pPr>
        <w:pStyle w:val="paragraph"/>
        <w:spacing w:before="0" w:beforeAutospacing="0" w:after="0" w:afterAutospacing="0"/>
        <w:ind w:left="255"/>
        <w:jc w:val="both"/>
        <w:textAlignment w:val="baseline"/>
        <w:rPr>
          <w:rFonts w:ascii="Segoe UI" w:hAnsi="Segoe UI" w:cs="Segoe UI"/>
          <w:sz w:val="18"/>
          <w:szCs w:val="18"/>
        </w:rPr>
      </w:pPr>
      <w:r>
        <w:rPr>
          <w:rStyle w:val="normaltextrun"/>
          <w:rFonts w:ascii="Noto Sans" w:hAnsi="Noto Sans" w:cs="Noto Sans"/>
          <w:b/>
          <w:bCs/>
          <w:color w:val="000000"/>
          <w:sz w:val="18"/>
          <w:szCs w:val="18"/>
        </w:rPr>
        <w:t>g) Ineligible expenses </w:t>
      </w:r>
      <w:r>
        <w:rPr>
          <w:rStyle w:val="eop"/>
          <w:rFonts w:ascii="Noto Sans" w:hAnsi="Noto Sans" w:cs="Noto Sans"/>
          <w:color w:val="000000"/>
          <w:sz w:val="18"/>
          <w:szCs w:val="18"/>
        </w:rPr>
        <w:t> </w:t>
      </w:r>
    </w:p>
    <w:p w14:paraId="649E1BAA" w14:textId="77777777" w:rsidR="006C5A50" w:rsidRDefault="006C5A50" w:rsidP="006C5A50">
      <w:pPr>
        <w:pStyle w:val="paragraph"/>
        <w:numPr>
          <w:ilvl w:val="0"/>
          <w:numId w:val="15"/>
        </w:numPr>
        <w:spacing w:before="0" w:beforeAutospacing="0" w:after="0" w:afterAutospacing="0"/>
        <w:ind w:left="1065" w:firstLine="0"/>
        <w:jc w:val="both"/>
        <w:textAlignment w:val="baseline"/>
        <w:rPr>
          <w:rFonts w:ascii="Noto Sans" w:hAnsi="Noto Sans" w:cs="Noto Sans"/>
          <w:sz w:val="18"/>
          <w:szCs w:val="18"/>
        </w:rPr>
      </w:pPr>
      <w:r>
        <w:rPr>
          <w:rStyle w:val="normaltextrun"/>
          <w:rFonts w:ascii="Noto Sans" w:hAnsi="Noto Sans" w:cs="Noto Sans"/>
          <w:color w:val="000000"/>
          <w:sz w:val="18"/>
          <w:szCs w:val="18"/>
        </w:rPr>
        <w:t xml:space="preserve">Include:  </w:t>
      </w:r>
      <w:r>
        <w:rPr>
          <w:rStyle w:val="normaltextrun"/>
          <w:rFonts w:ascii="Noto Sans" w:hAnsi="Noto Sans" w:cs="Noto Sans"/>
          <w:sz w:val="18"/>
          <w:szCs w:val="18"/>
        </w:rPr>
        <w:t>Items that retain their value (construction equipment and tools), Annual, recuring or routine repair or maintenance </w:t>
      </w:r>
      <w:r>
        <w:rPr>
          <w:rStyle w:val="eop"/>
          <w:rFonts w:ascii="Noto Sans" w:hAnsi="Noto Sans" w:cs="Noto Sans"/>
          <w:sz w:val="18"/>
          <w:szCs w:val="18"/>
        </w:rPr>
        <w:t> </w:t>
      </w:r>
    </w:p>
    <w:p w14:paraId="20982E37" w14:textId="77777777" w:rsidR="006C5A50" w:rsidRDefault="006C5A50" w:rsidP="006C5A50">
      <w:pPr>
        <w:pStyle w:val="paragraph"/>
        <w:numPr>
          <w:ilvl w:val="0"/>
          <w:numId w:val="15"/>
        </w:numPr>
        <w:spacing w:before="0" w:beforeAutospacing="0" w:after="0" w:afterAutospacing="0"/>
        <w:ind w:left="1065" w:firstLine="0"/>
        <w:textAlignment w:val="baseline"/>
        <w:rPr>
          <w:rFonts w:ascii="Noto Sans" w:hAnsi="Noto Sans" w:cs="Noto Sans"/>
          <w:color w:val="000000"/>
          <w:sz w:val="18"/>
          <w:szCs w:val="18"/>
        </w:rPr>
      </w:pPr>
      <w:r>
        <w:rPr>
          <w:rStyle w:val="normaltextrun"/>
          <w:rFonts w:ascii="Noto Sans" w:hAnsi="Noto Sans" w:cs="Noto Sans"/>
          <w:color w:val="000000"/>
          <w:sz w:val="18"/>
          <w:szCs w:val="18"/>
        </w:rPr>
        <w:t>Cost of household appliances, Cost of financing a renovation, Goods or services provided by a person not dealing at arm’s length with the MHRTC claimant, unless the provider is registered for HST/GST</w:t>
      </w:r>
      <w:r>
        <w:rPr>
          <w:rStyle w:val="eop"/>
          <w:rFonts w:ascii="Noto Sans" w:hAnsi="Noto Sans" w:cs="Noto Sans"/>
          <w:color w:val="000000"/>
          <w:sz w:val="18"/>
          <w:szCs w:val="18"/>
        </w:rPr>
        <w:t> </w:t>
      </w:r>
    </w:p>
    <w:p w14:paraId="0931A536" w14:textId="77777777" w:rsidR="006C5A50" w:rsidRDefault="006C5A50" w:rsidP="006C5A50">
      <w:pPr>
        <w:pStyle w:val="paragraph"/>
        <w:spacing w:before="0" w:beforeAutospacing="0" w:after="0" w:afterAutospacing="0"/>
        <w:textAlignment w:val="baseline"/>
        <w:rPr>
          <w:rFonts w:ascii="Segoe UI" w:hAnsi="Segoe UI" w:cs="Segoe UI"/>
          <w:color w:val="000000"/>
          <w:sz w:val="18"/>
          <w:szCs w:val="18"/>
        </w:rPr>
      </w:pPr>
      <w:r>
        <w:rPr>
          <w:rStyle w:val="eop"/>
          <w:rFonts w:ascii="Noto Sans" w:hAnsi="Noto Sans" w:cs="Noto Sans"/>
          <w:color w:val="000000"/>
          <w:sz w:val="18"/>
          <w:szCs w:val="18"/>
        </w:rPr>
        <w:t> </w:t>
      </w:r>
    </w:p>
    <w:p w14:paraId="627186FC" w14:textId="77777777" w:rsidR="002D6237" w:rsidRDefault="002D6237"/>
    <w:sectPr w:rsidR="002D62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E0F40"/>
    <w:multiLevelType w:val="multilevel"/>
    <w:tmpl w:val="7C56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1C3B39"/>
    <w:multiLevelType w:val="multilevel"/>
    <w:tmpl w:val="55C01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53E8C"/>
    <w:multiLevelType w:val="multilevel"/>
    <w:tmpl w:val="9B74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3458D8"/>
    <w:multiLevelType w:val="multilevel"/>
    <w:tmpl w:val="3B1067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1662E97"/>
    <w:multiLevelType w:val="multilevel"/>
    <w:tmpl w:val="0C26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855C8D"/>
    <w:multiLevelType w:val="multilevel"/>
    <w:tmpl w:val="915A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636A9E"/>
    <w:multiLevelType w:val="multilevel"/>
    <w:tmpl w:val="DA44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8C56A9"/>
    <w:multiLevelType w:val="multilevel"/>
    <w:tmpl w:val="9214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B83874"/>
    <w:multiLevelType w:val="multilevel"/>
    <w:tmpl w:val="E5A4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871392"/>
    <w:multiLevelType w:val="multilevel"/>
    <w:tmpl w:val="184E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17057B"/>
    <w:multiLevelType w:val="multilevel"/>
    <w:tmpl w:val="FA22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847C65"/>
    <w:multiLevelType w:val="multilevel"/>
    <w:tmpl w:val="FF7A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6C0223"/>
    <w:multiLevelType w:val="multilevel"/>
    <w:tmpl w:val="6F90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B65CF4"/>
    <w:multiLevelType w:val="multilevel"/>
    <w:tmpl w:val="7A7E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F64DAB"/>
    <w:multiLevelType w:val="multilevel"/>
    <w:tmpl w:val="D71E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2336252">
    <w:abstractNumId w:val="4"/>
  </w:num>
  <w:num w:numId="2" w16cid:durableId="1836414595">
    <w:abstractNumId w:val="7"/>
  </w:num>
  <w:num w:numId="3" w16cid:durableId="1641494808">
    <w:abstractNumId w:val="14"/>
  </w:num>
  <w:num w:numId="4" w16cid:durableId="128062700">
    <w:abstractNumId w:val="12"/>
  </w:num>
  <w:num w:numId="5" w16cid:durableId="1404832623">
    <w:abstractNumId w:val="6"/>
  </w:num>
  <w:num w:numId="6" w16cid:durableId="1467701696">
    <w:abstractNumId w:val="1"/>
  </w:num>
  <w:num w:numId="7" w16cid:durableId="1495340154">
    <w:abstractNumId w:val="11"/>
  </w:num>
  <w:num w:numId="8" w16cid:durableId="1025401573">
    <w:abstractNumId w:val="3"/>
  </w:num>
  <w:num w:numId="9" w16cid:durableId="1027948405">
    <w:abstractNumId w:val="5"/>
  </w:num>
  <w:num w:numId="10" w16cid:durableId="436173804">
    <w:abstractNumId w:val="8"/>
  </w:num>
  <w:num w:numId="11" w16cid:durableId="1796024633">
    <w:abstractNumId w:val="0"/>
  </w:num>
  <w:num w:numId="12" w16cid:durableId="424621068">
    <w:abstractNumId w:val="13"/>
  </w:num>
  <w:num w:numId="13" w16cid:durableId="1742865259">
    <w:abstractNumId w:val="9"/>
  </w:num>
  <w:num w:numId="14" w16cid:durableId="1423724225">
    <w:abstractNumId w:val="10"/>
  </w:num>
  <w:num w:numId="15" w16cid:durableId="377166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50"/>
    <w:rsid w:val="002D6237"/>
    <w:rsid w:val="006C5A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F119"/>
  <w15:chartTrackingRefBased/>
  <w15:docId w15:val="{CAD5A63C-6CFC-48E9-9628-4FD7E6EC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C5A5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6C5A50"/>
  </w:style>
  <w:style w:type="character" w:customStyle="1" w:styleId="eop">
    <w:name w:val="eop"/>
    <w:basedOn w:val="DefaultParagraphFont"/>
    <w:rsid w:val="006C5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082671">
      <w:bodyDiv w:val="1"/>
      <w:marLeft w:val="0"/>
      <w:marRight w:val="0"/>
      <w:marTop w:val="0"/>
      <w:marBottom w:val="0"/>
      <w:divBdr>
        <w:top w:val="none" w:sz="0" w:space="0" w:color="auto"/>
        <w:left w:val="none" w:sz="0" w:space="0" w:color="auto"/>
        <w:bottom w:val="none" w:sz="0" w:space="0" w:color="auto"/>
        <w:right w:val="none" w:sz="0" w:space="0" w:color="auto"/>
      </w:divBdr>
      <w:divsChild>
        <w:div w:id="1129081847">
          <w:marLeft w:val="0"/>
          <w:marRight w:val="0"/>
          <w:marTop w:val="0"/>
          <w:marBottom w:val="0"/>
          <w:divBdr>
            <w:top w:val="none" w:sz="0" w:space="0" w:color="auto"/>
            <w:left w:val="none" w:sz="0" w:space="0" w:color="auto"/>
            <w:bottom w:val="none" w:sz="0" w:space="0" w:color="auto"/>
            <w:right w:val="none" w:sz="0" w:space="0" w:color="auto"/>
          </w:divBdr>
        </w:div>
        <w:div w:id="324013056">
          <w:marLeft w:val="0"/>
          <w:marRight w:val="0"/>
          <w:marTop w:val="0"/>
          <w:marBottom w:val="0"/>
          <w:divBdr>
            <w:top w:val="none" w:sz="0" w:space="0" w:color="auto"/>
            <w:left w:val="none" w:sz="0" w:space="0" w:color="auto"/>
            <w:bottom w:val="none" w:sz="0" w:space="0" w:color="auto"/>
            <w:right w:val="none" w:sz="0" w:space="0" w:color="auto"/>
          </w:divBdr>
        </w:div>
        <w:div w:id="1738086906">
          <w:marLeft w:val="0"/>
          <w:marRight w:val="0"/>
          <w:marTop w:val="0"/>
          <w:marBottom w:val="0"/>
          <w:divBdr>
            <w:top w:val="none" w:sz="0" w:space="0" w:color="auto"/>
            <w:left w:val="none" w:sz="0" w:space="0" w:color="auto"/>
            <w:bottom w:val="none" w:sz="0" w:space="0" w:color="auto"/>
            <w:right w:val="none" w:sz="0" w:space="0" w:color="auto"/>
          </w:divBdr>
        </w:div>
        <w:div w:id="201795598">
          <w:marLeft w:val="0"/>
          <w:marRight w:val="0"/>
          <w:marTop w:val="0"/>
          <w:marBottom w:val="0"/>
          <w:divBdr>
            <w:top w:val="none" w:sz="0" w:space="0" w:color="auto"/>
            <w:left w:val="none" w:sz="0" w:space="0" w:color="auto"/>
            <w:bottom w:val="none" w:sz="0" w:space="0" w:color="auto"/>
            <w:right w:val="none" w:sz="0" w:space="0" w:color="auto"/>
          </w:divBdr>
        </w:div>
        <w:div w:id="458768514">
          <w:marLeft w:val="0"/>
          <w:marRight w:val="0"/>
          <w:marTop w:val="0"/>
          <w:marBottom w:val="0"/>
          <w:divBdr>
            <w:top w:val="none" w:sz="0" w:space="0" w:color="auto"/>
            <w:left w:val="none" w:sz="0" w:space="0" w:color="auto"/>
            <w:bottom w:val="none" w:sz="0" w:space="0" w:color="auto"/>
            <w:right w:val="none" w:sz="0" w:space="0" w:color="auto"/>
          </w:divBdr>
          <w:divsChild>
            <w:div w:id="1998262237">
              <w:marLeft w:val="0"/>
              <w:marRight w:val="0"/>
              <w:marTop w:val="0"/>
              <w:marBottom w:val="0"/>
              <w:divBdr>
                <w:top w:val="none" w:sz="0" w:space="0" w:color="auto"/>
                <w:left w:val="none" w:sz="0" w:space="0" w:color="auto"/>
                <w:bottom w:val="none" w:sz="0" w:space="0" w:color="auto"/>
                <w:right w:val="none" w:sz="0" w:space="0" w:color="auto"/>
              </w:divBdr>
            </w:div>
            <w:div w:id="302664453">
              <w:marLeft w:val="0"/>
              <w:marRight w:val="0"/>
              <w:marTop w:val="0"/>
              <w:marBottom w:val="0"/>
              <w:divBdr>
                <w:top w:val="none" w:sz="0" w:space="0" w:color="auto"/>
                <w:left w:val="none" w:sz="0" w:space="0" w:color="auto"/>
                <w:bottom w:val="none" w:sz="0" w:space="0" w:color="auto"/>
                <w:right w:val="none" w:sz="0" w:space="0" w:color="auto"/>
              </w:divBdr>
            </w:div>
          </w:divsChild>
        </w:div>
        <w:div w:id="2025865442">
          <w:marLeft w:val="0"/>
          <w:marRight w:val="0"/>
          <w:marTop w:val="0"/>
          <w:marBottom w:val="0"/>
          <w:divBdr>
            <w:top w:val="none" w:sz="0" w:space="0" w:color="auto"/>
            <w:left w:val="none" w:sz="0" w:space="0" w:color="auto"/>
            <w:bottom w:val="none" w:sz="0" w:space="0" w:color="auto"/>
            <w:right w:val="none" w:sz="0" w:space="0" w:color="auto"/>
          </w:divBdr>
          <w:divsChild>
            <w:div w:id="1209295745">
              <w:marLeft w:val="0"/>
              <w:marRight w:val="0"/>
              <w:marTop w:val="0"/>
              <w:marBottom w:val="0"/>
              <w:divBdr>
                <w:top w:val="none" w:sz="0" w:space="0" w:color="auto"/>
                <w:left w:val="none" w:sz="0" w:space="0" w:color="auto"/>
                <w:bottom w:val="none" w:sz="0" w:space="0" w:color="auto"/>
                <w:right w:val="none" w:sz="0" w:space="0" w:color="auto"/>
              </w:divBdr>
            </w:div>
          </w:divsChild>
        </w:div>
        <w:div w:id="575432536">
          <w:marLeft w:val="0"/>
          <w:marRight w:val="0"/>
          <w:marTop w:val="0"/>
          <w:marBottom w:val="0"/>
          <w:divBdr>
            <w:top w:val="none" w:sz="0" w:space="0" w:color="auto"/>
            <w:left w:val="none" w:sz="0" w:space="0" w:color="auto"/>
            <w:bottom w:val="none" w:sz="0" w:space="0" w:color="auto"/>
            <w:right w:val="none" w:sz="0" w:space="0" w:color="auto"/>
          </w:divBdr>
          <w:divsChild>
            <w:div w:id="781999776">
              <w:marLeft w:val="0"/>
              <w:marRight w:val="0"/>
              <w:marTop w:val="0"/>
              <w:marBottom w:val="0"/>
              <w:divBdr>
                <w:top w:val="none" w:sz="0" w:space="0" w:color="auto"/>
                <w:left w:val="none" w:sz="0" w:space="0" w:color="auto"/>
                <w:bottom w:val="none" w:sz="0" w:space="0" w:color="auto"/>
                <w:right w:val="none" w:sz="0" w:space="0" w:color="auto"/>
              </w:divBdr>
            </w:div>
            <w:div w:id="1027560632">
              <w:marLeft w:val="0"/>
              <w:marRight w:val="0"/>
              <w:marTop w:val="0"/>
              <w:marBottom w:val="0"/>
              <w:divBdr>
                <w:top w:val="none" w:sz="0" w:space="0" w:color="auto"/>
                <w:left w:val="none" w:sz="0" w:space="0" w:color="auto"/>
                <w:bottom w:val="none" w:sz="0" w:space="0" w:color="auto"/>
                <w:right w:val="none" w:sz="0" w:space="0" w:color="auto"/>
              </w:divBdr>
            </w:div>
            <w:div w:id="937103054">
              <w:marLeft w:val="0"/>
              <w:marRight w:val="0"/>
              <w:marTop w:val="0"/>
              <w:marBottom w:val="0"/>
              <w:divBdr>
                <w:top w:val="none" w:sz="0" w:space="0" w:color="auto"/>
                <w:left w:val="none" w:sz="0" w:space="0" w:color="auto"/>
                <w:bottom w:val="none" w:sz="0" w:space="0" w:color="auto"/>
                <w:right w:val="none" w:sz="0" w:space="0" w:color="auto"/>
              </w:divBdr>
            </w:div>
            <w:div w:id="304507272">
              <w:marLeft w:val="0"/>
              <w:marRight w:val="0"/>
              <w:marTop w:val="0"/>
              <w:marBottom w:val="0"/>
              <w:divBdr>
                <w:top w:val="none" w:sz="0" w:space="0" w:color="auto"/>
                <w:left w:val="none" w:sz="0" w:space="0" w:color="auto"/>
                <w:bottom w:val="none" w:sz="0" w:space="0" w:color="auto"/>
                <w:right w:val="none" w:sz="0" w:space="0" w:color="auto"/>
              </w:divBdr>
            </w:div>
            <w:div w:id="479423033">
              <w:marLeft w:val="0"/>
              <w:marRight w:val="0"/>
              <w:marTop w:val="0"/>
              <w:marBottom w:val="0"/>
              <w:divBdr>
                <w:top w:val="none" w:sz="0" w:space="0" w:color="auto"/>
                <w:left w:val="none" w:sz="0" w:space="0" w:color="auto"/>
                <w:bottom w:val="none" w:sz="0" w:space="0" w:color="auto"/>
                <w:right w:val="none" w:sz="0" w:space="0" w:color="auto"/>
              </w:divBdr>
            </w:div>
          </w:divsChild>
        </w:div>
        <w:div w:id="45418605">
          <w:marLeft w:val="0"/>
          <w:marRight w:val="0"/>
          <w:marTop w:val="0"/>
          <w:marBottom w:val="0"/>
          <w:divBdr>
            <w:top w:val="none" w:sz="0" w:space="0" w:color="auto"/>
            <w:left w:val="none" w:sz="0" w:space="0" w:color="auto"/>
            <w:bottom w:val="none" w:sz="0" w:space="0" w:color="auto"/>
            <w:right w:val="none" w:sz="0" w:space="0" w:color="auto"/>
          </w:divBdr>
          <w:divsChild>
            <w:div w:id="1320497618">
              <w:marLeft w:val="0"/>
              <w:marRight w:val="0"/>
              <w:marTop w:val="0"/>
              <w:marBottom w:val="0"/>
              <w:divBdr>
                <w:top w:val="none" w:sz="0" w:space="0" w:color="auto"/>
                <w:left w:val="none" w:sz="0" w:space="0" w:color="auto"/>
                <w:bottom w:val="none" w:sz="0" w:space="0" w:color="auto"/>
                <w:right w:val="none" w:sz="0" w:space="0" w:color="auto"/>
              </w:divBdr>
            </w:div>
            <w:div w:id="1833176268">
              <w:marLeft w:val="0"/>
              <w:marRight w:val="0"/>
              <w:marTop w:val="0"/>
              <w:marBottom w:val="0"/>
              <w:divBdr>
                <w:top w:val="none" w:sz="0" w:space="0" w:color="auto"/>
                <w:left w:val="none" w:sz="0" w:space="0" w:color="auto"/>
                <w:bottom w:val="none" w:sz="0" w:space="0" w:color="auto"/>
                <w:right w:val="none" w:sz="0" w:space="0" w:color="auto"/>
              </w:divBdr>
            </w:div>
            <w:div w:id="2135562294">
              <w:marLeft w:val="0"/>
              <w:marRight w:val="0"/>
              <w:marTop w:val="0"/>
              <w:marBottom w:val="0"/>
              <w:divBdr>
                <w:top w:val="none" w:sz="0" w:space="0" w:color="auto"/>
                <w:left w:val="none" w:sz="0" w:space="0" w:color="auto"/>
                <w:bottom w:val="none" w:sz="0" w:space="0" w:color="auto"/>
                <w:right w:val="none" w:sz="0" w:space="0" w:color="auto"/>
              </w:divBdr>
            </w:div>
            <w:div w:id="50230748">
              <w:marLeft w:val="0"/>
              <w:marRight w:val="0"/>
              <w:marTop w:val="0"/>
              <w:marBottom w:val="0"/>
              <w:divBdr>
                <w:top w:val="none" w:sz="0" w:space="0" w:color="auto"/>
                <w:left w:val="none" w:sz="0" w:space="0" w:color="auto"/>
                <w:bottom w:val="none" w:sz="0" w:space="0" w:color="auto"/>
                <w:right w:val="none" w:sz="0" w:space="0" w:color="auto"/>
              </w:divBdr>
            </w:div>
            <w:div w:id="728460032">
              <w:marLeft w:val="0"/>
              <w:marRight w:val="0"/>
              <w:marTop w:val="0"/>
              <w:marBottom w:val="0"/>
              <w:divBdr>
                <w:top w:val="none" w:sz="0" w:space="0" w:color="auto"/>
                <w:left w:val="none" w:sz="0" w:space="0" w:color="auto"/>
                <w:bottom w:val="none" w:sz="0" w:space="0" w:color="auto"/>
                <w:right w:val="none" w:sz="0" w:space="0" w:color="auto"/>
              </w:divBdr>
            </w:div>
          </w:divsChild>
        </w:div>
        <w:div w:id="1454864457">
          <w:marLeft w:val="0"/>
          <w:marRight w:val="0"/>
          <w:marTop w:val="0"/>
          <w:marBottom w:val="0"/>
          <w:divBdr>
            <w:top w:val="none" w:sz="0" w:space="0" w:color="auto"/>
            <w:left w:val="none" w:sz="0" w:space="0" w:color="auto"/>
            <w:bottom w:val="none" w:sz="0" w:space="0" w:color="auto"/>
            <w:right w:val="none" w:sz="0" w:space="0" w:color="auto"/>
          </w:divBdr>
          <w:divsChild>
            <w:div w:id="1951431990">
              <w:marLeft w:val="0"/>
              <w:marRight w:val="0"/>
              <w:marTop w:val="0"/>
              <w:marBottom w:val="0"/>
              <w:divBdr>
                <w:top w:val="none" w:sz="0" w:space="0" w:color="auto"/>
                <w:left w:val="none" w:sz="0" w:space="0" w:color="auto"/>
                <w:bottom w:val="none" w:sz="0" w:space="0" w:color="auto"/>
                <w:right w:val="none" w:sz="0" w:space="0" w:color="auto"/>
              </w:divBdr>
            </w:div>
            <w:div w:id="487137880">
              <w:marLeft w:val="0"/>
              <w:marRight w:val="0"/>
              <w:marTop w:val="0"/>
              <w:marBottom w:val="0"/>
              <w:divBdr>
                <w:top w:val="none" w:sz="0" w:space="0" w:color="auto"/>
                <w:left w:val="none" w:sz="0" w:space="0" w:color="auto"/>
                <w:bottom w:val="none" w:sz="0" w:space="0" w:color="auto"/>
                <w:right w:val="none" w:sz="0" w:space="0" w:color="auto"/>
              </w:divBdr>
            </w:div>
            <w:div w:id="215363046">
              <w:marLeft w:val="0"/>
              <w:marRight w:val="0"/>
              <w:marTop w:val="0"/>
              <w:marBottom w:val="0"/>
              <w:divBdr>
                <w:top w:val="none" w:sz="0" w:space="0" w:color="auto"/>
                <w:left w:val="none" w:sz="0" w:space="0" w:color="auto"/>
                <w:bottom w:val="none" w:sz="0" w:space="0" w:color="auto"/>
                <w:right w:val="none" w:sz="0" w:space="0" w:color="auto"/>
              </w:divBdr>
            </w:div>
          </w:divsChild>
        </w:div>
        <w:div w:id="1584217225">
          <w:marLeft w:val="0"/>
          <w:marRight w:val="0"/>
          <w:marTop w:val="0"/>
          <w:marBottom w:val="0"/>
          <w:divBdr>
            <w:top w:val="none" w:sz="0" w:space="0" w:color="auto"/>
            <w:left w:val="none" w:sz="0" w:space="0" w:color="auto"/>
            <w:bottom w:val="none" w:sz="0" w:space="0" w:color="auto"/>
            <w:right w:val="none" w:sz="0" w:space="0" w:color="auto"/>
          </w:divBdr>
          <w:divsChild>
            <w:div w:id="968314898">
              <w:marLeft w:val="0"/>
              <w:marRight w:val="0"/>
              <w:marTop w:val="0"/>
              <w:marBottom w:val="0"/>
              <w:divBdr>
                <w:top w:val="none" w:sz="0" w:space="0" w:color="auto"/>
                <w:left w:val="none" w:sz="0" w:space="0" w:color="auto"/>
                <w:bottom w:val="none" w:sz="0" w:space="0" w:color="auto"/>
                <w:right w:val="none" w:sz="0" w:space="0" w:color="auto"/>
              </w:divBdr>
            </w:div>
            <w:div w:id="1110975018">
              <w:marLeft w:val="0"/>
              <w:marRight w:val="0"/>
              <w:marTop w:val="0"/>
              <w:marBottom w:val="0"/>
              <w:divBdr>
                <w:top w:val="none" w:sz="0" w:space="0" w:color="auto"/>
                <w:left w:val="none" w:sz="0" w:space="0" w:color="auto"/>
                <w:bottom w:val="none" w:sz="0" w:space="0" w:color="auto"/>
                <w:right w:val="none" w:sz="0" w:space="0" w:color="auto"/>
              </w:divBdr>
            </w:div>
            <w:div w:id="688718820">
              <w:marLeft w:val="0"/>
              <w:marRight w:val="0"/>
              <w:marTop w:val="0"/>
              <w:marBottom w:val="0"/>
              <w:divBdr>
                <w:top w:val="none" w:sz="0" w:space="0" w:color="auto"/>
                <w:left w:val="none" w:sz="0" w:space="0" w:color="auto"/>
                <w:bottom w:val="none" w:sz="0" w:space="0" w:color="auto"/>
                <w:right w:val="none" w:sz="0" w:space="0" w:color="auto"/>
              </w:divBdr>
            </w:div>
            <w:div w:id="281696150">
              <w:marLeft w:val="0"/>
              <w:marRight w:val="0"/>
              <w:marTop w:val="0"/>
              <w:marBottom w:val="0"/>
              <w:divBdr>
                <w:top w:val="none" w:sz="0" w:space="0" w:color="auto"/>
                <w:left w:val="none" w:sz="0" w:space="0" w:color="auto"/>
                <w:bottom w:val="none" w:sz="0" w:space="0" w:color="auto"/>
                <w:right w:val="none" w:sz="0" w:space="0" w:color="auto"/>
              </w:divBdr>
            </w:div>
            <w:div w:id="960185124">
              <w:marLeft w:val="0"/>
              <w:marRight w:val="0"/>
              <w:marTop w:val="0"/>
              <w:marBottom w:val="0"/>
              <w:divBdr>
                <w:top w:val="none" w:sz="0" w:space="0" w:color="auto"/>
                <w:left w:val="none" w:sz="0" w:space="0" w:color="auto"/>
                <w:bottom w:val="none" w:sz="0" w:space="0" w:color="auto"/>
                <w:right w:val="none" w:sz="0" w:space="0" w:color="auto"/>
              </w:divBdr>
            </w:div>
          </w:divsChild>
        </w:div>
        <w:div w:id="172889399">
          <w:marLeft w:val="0"/>
          <w:marRight w:val="0"/>
          <w:marTop w:val="0"/>
          <w:marBottom w:val="0"/>
          <w:divBdr>
            <w:top w:val="none" w:sz="0" w:space="0" w:color="auto"/>
            <w:left w:val="none" w:sz="0" w:space="0" w:color="auto"/>
            <w:bottom w:val="none" w:sz="0" w:space="0" w:color="auto"/>
            <w:right w:val="none" w:sz="0" w:space="0" w:color="auto"/>
          </w:divBdr>
          <w:divsChild>
            <w:div w:id="1939022299">
              <w:marLeft w:val="0"/>
              <w:marRight w:val="0"/>
              <w:marTop w:val="0"/>
              <w:marBottom w:val="0"/>
              <w:divBdr>
                <w:top w:val="none" w:sz="0" w:space="0" w:color="auto"/>
                <w:left w:val="none" w:sz="0" w:space="0" w:color="auto"/>
                <w:bottom w:val="none" w:sz="0" w:space="0" w:color="auto"/>
                <w:right w:val="none" w:sz="0" w:space="0" w:color="auto"/>
              </w:divBdr>
            </w:div>
            <w:div w:id="163711893">
              <w:marLeft w:val="0"/>
              <w:marRight w:val="0"/>
              <w:marTop w:val="0"/>
              <w:marBottom w:val="0"/>
              <w:divBdr>
                <w:top w:val="none" w:sz="0" w:space="0" w:color="auto"/>
                <w:left w:val="none" w:sz="0" w:space="0" w:color="auto"/>
                <w:bottom w:val="none" w:sz="0" w:space="0" w:color="auto"/>
                <w:right w:val="none" w:sz="0" w:space="0" w:color="auto"/>
              </w:divBdr>
            </w:div>
            <w:div w:id="1587151179">
              <w:marLeft w:val="0"/>
              <w:marRight w:val="0"/>
              <w:marTop w:val="0"/>
              <w:marBottom w:val="0"/>
              <w:divBdr>
                <w:top w:val="none" w:sz="0" w:space="0" w:color="auto"/>
                <w:left w:val="none" w:sz="0" w:space="0" w:color="auto"/>
                <w:bottom w:val="none" w:sz="0" w:space="0" w:color="auto"/>
                <w:right w:val="none" w:sz="0" w:space="0" w:color="auto"/>
              </w:divBdr>
            </w:div>
            <w:div w:id="1250701989">
              <w:marLeft w:val="0"/>
              <w:marRight w:val="0"/>
              <w:marTop w:val="0"/>
              <w:marBottom w:val="0"/>
              <w:divBdr>
                <w:top w:val="none" w:sz="0" w:space="0" w:color="auto"/>
                <w:left w:val="none" w:sz="0" w:space="0" w:color="auto"/>
                <w:bottom w:val="none" w:sz="0" w:space="0" w:color="auto"/>
                <w:right w:val="none" w:sz="0" w:space="0" w:color="auto"/>
              </w:divBdr>
            </w:div>
          </w:divsChild>
        </w:div>
        <w:div w:id="725253795">
          <w:marLeft w:val="0"/>
          <w:marRight w:val="0"/>
          <w:marTop w:val="0"/>
          <w:marBottom w:val="0"/>
          <w:divBdr>
            <w:top w:val="none" w:sz="0" w:space="0" w:color="auto"/>
            <w:left w:val="none" w:sz="0" w:space="0" w:color="auto"/>
            <w:bottom w:val="none" w:sz="0" w:space="0" w:color="auto"/>
            <w:right w:val="none" w:sz="0" w:space="0" w:color="auto"/>
          </w:divBdr>
          <w:divsChild>
            <w:div w:id="2023817399">
              <w:marLeft w:val="0"/>
              <w:marRight w:val="0"/>
              <w:marTop w:val="0"/>
              <w:marBottom w:val="0"/>
              <w:divBdr>
                <w:top w:val="none" w:sz="0" w:space="0" w:color="auto"/>
                <w:left w:val="none" w:sz="0" w:space="0" w:color="auto"/>
                <w:bottom w:val="none" w:sz="0" w:space="0" w:color="auto"/>
                <w:right w:val="none" w:sz="0" w:space="0" w:color="auto"/>
              </w:divBdr>
            </w:div>
            <w:div w:id="1181965995">
              <w:marLeft w:val="0"/>
              <w:marRight w:val="0"/>
              <w:marTop w:val="0"/>
              <w:marBottom w:val="0"/>
              <w:divBdr>
                <w:top w:val="none" w:sz="0" w:space="0" w:color="auto"/>
                <w:left w:val="none" w:sz="0" w:space="0" w:color="auto"/>
                <w:bottom w:val="none" w:sz="0" w:space="0" w:color="auto"/>
                <w:right w:val="none" w:sz="0" w:space="0" w:color="auto"/>
              </w:divBdr>
            </w:div>
            <w:div w:id="1707488326">
              <w:marLeft w:val="0"/>
              <w:marRight w:val="0"/>
              <w:marTop w:val="0"/>
              <w:marBottom w:val="0"/>
              <w:divBdr>
                <w:top w:val="none" w:sz="0" w:space="0" w:color="auto"/>
                <w:left w:val="none" w:sz="0" w:space="0" w:color="auto"/>
                <w:bottom w:val="none" w:sz="0" w:space="0" w:color="auto"/>
                <w:right w:val="none" w:sz="0" w:space="0" w:color="auto"/>
              </w:divBdr>
            </w:div>
            <w:div w:id="829175183">
              <w:marLeft w:val="0"/>
              <w:marRight w:val="0"/>
              <w:marTop w:val="0"/>
              <w:marBottom w:val="0"/>
              <w:divBdr>
                <w:top w:val="none" w:sz="0" w:space="0" w:color="auto"/>
                <w:left w:val="none" w:sz="0" w:space="0" w:color="auto"/>
                <w:bottom w:val="none" w:sz="0" w:space="0" w:color="auto"/>
                <w:right w:val="none" w:sz="0" w:space="0" w:color="auto"/>
              </w:divBdr>
            </w:div>
            <w:div w:id="1241990146">
              <w:marLeft w:val="0"/>
              <w:marRight w:val="0"/>
              <w:marTop w:val="0"/>
              <w:marBottom w:val="0"/>
              <w:divBdr>
                <w:top w:val="none" w:sz="0" w:space="0" w:color="auto"/>
                <w:left w:val="none" w:sz="0" w:space="0" w:color="auto"/>
                <w:bottom w:val="none" w:sz="0" w:space="0" w:color="auto"/>
                <w:right w:val="none" w:sz="0" w:space="0" w:color="auto"/>
              </w:divBdr>
            </w:div>
          </w:divsChild>
        </w:div>
        <w:div w:id="1199201785">
          <w:marLeft w:val="0"/>
          <w:marRight w:val="0"/>
          <w:marTop w:val="0"/>
          <w:marBottom w:val="0"/>
          <w:divBdr>
            <w:top w:val="none" w:sz="0" w:space="0" w:color="auto"/>
            <w:left w:val="none" w:sz="0" w:space="0" w:color="auto"/>
            <w:bottom w:val="none" w:sz="0" w:space="0" w:color="auto"/>
            <w:right w:val="none" w:sz="0" w:space="0" w:color="auto"/>
          </w:divBdr>
          <w:divsChild>
            <w:div w:id="744492001">
              <w:marLeft w:val="0"/>
              <w:marRight w:val="0"/>
              <w:marTop w:val="0"/>
              <w:marBottom w:val="0"/>
              <w:divBdr>
                <w:top w:val="none" w:sz="0" w:space="0" w:color="auto"/>
                <w:left w:val="none" w:sz="0" w:space="0" w:color="auto"/>
                <w:bottom w:val="none" w:sz="0" w:space="0" w:color="auto"/>
                <w:right w:val="none" w:sz="0" w:space="0" w:color="auto"/>
              </w:divBdr>
            </w:div>
            <w:div w:id="791091526">
              <w:marLeft w:val="0"/>
              <w:marRight w:val="0"/>
              <w:marTop w:val="0"/>
              <w:marBottom w:val="0"/>
              <w:divBdr>
                <w:top w:val="none" w:sz="0" w:space="0" w:color="auto"/>
                <w:left w:val="none" w:sz="0" w:space="0" w:color="auto"/>
                <w:bottom w:val="none" w:sz="0" w:space="0" w:color="auto"/>
                <w:right w:val="none" w:sz="0" w:space="0" w:color="auto"/>
              </w:divBdr>
            </w:div>
            <w:div w:id="1203665725">
              <w:marLeft w:val="0"/>
              <w:marRight w:val="0"/>
              <w:marTop w:val="0"/>
              <w:marBottom w:val="0"/>
              <w:divBdr>
                <w:top w:val="none" w:sz="0" w:space="0" w:color="auto"/>
                <w:left w:val="none" w:sz="0" w:space="0" w:color="auto"/>
                <w:bottom w:val="none" w:sz="0" w:space="0" w:color="auto"/>
                <w:right w:val="none" w:sz="0" w:space="0" w:color="auto"/>
              </w:divBdr>
            </w:div>
            <w:div w:id="19947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Shantaye Stumpf</dc:creator>
  <cp:keywords/>
  <dc:description/>
  <cp:lastModifiedBy>Shantaye Stumpf</cp:lastModifiedBy>
  <cp:revision>1</cp:revision>
  <dcterms:created xsi:type="dcterms:W3CDTF">2023-01-06T16:50:00Z</dcterms:created>
  <dcterms:modified xsi:type="dcterms:W3CDTF">2023-01-06T16:52:00Z</dcterms:modified>
</cp:coreProperties>
</file>