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8FD4E" w14:textId="77777777" w:rsidR="00B40C1A" w:rsidRPr="00B40C1A" w:rsidRDefault="00B40C1A" w:rsidP="00B40C1A">
      <w:pPr>
        <w:shd w:val="clear" w:color="auto" w:fill="FFFFFF"/>
        <w:spacing w:after="180" w:line="240" w:lineRule="auto"/>
        <w:rPr>
          <w:rFonts w:ascii="Times New Roman" w:eastAsia="Times New Roman" w:hAnsi="Times New Roman" w:cs="Times New Roman"/>
          <w:color w:val="000000"/>
          <w:sz w:val="21"/>
          <w:szCs w:val="21"/>
        </w:rPr>
      </w:pPr>
      <w:r w:rsidRPr="00B40C1A">
        <w:rPr>
          <w:rFonts w:ascii="Times New Roman" w:eastAsia="Times New Roman" w:hAnsi="Times New Roman" w:cs="Times New Roman"/>
          <w:color w:val="000000"/>
          <w:sz w:val="21"/>
          <w:szCs w:val="21"/>
        </w:rPr>
        <w:br/>
      </w:r>
      <w:r w:rsidRPr="00B40C1A">
        <w:rPr>
          <w:rFonts w:ascii="Times New Roman" w:eastAsia="Times New Roman" w:hAnsi="Times New Roman" w:cs="Times New Roman"/>
          <w:noProof/>
          <w:color w:val="000000"/>
          <w:sz w:val="21"/>
          <w:szCs w:val="21"/>
        </w:rPr>
        <w:drawing>
          <wp:inline distT="0" distB="0" distL="0" distR="0" wp14:anchorId="72B935FA" wp14:editId="4658B314">
            <wp:extent cx="6010275" cy="2578827"/>
            <wp:effectExtent l="0" t="0" r="0" b="0"/>
            <wp:docPr id="1" name="Picture 1" descr="Bond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d Lad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2123" cy="2596783"/>
                    </a:xfrm>
                    <a:prstGeom prst="rect">
                      <a:avLst/>
                    </a:prstGeom>
                    <a:noFill/>
                    <a:ln>
                      <a:noFill/>
                    </a:ln>
                  </pic:spPr>
                </pic:pic>
              </a:graphicData>
            </a:graphic>
          </wp:inline>
        </w:drawing>
      </w:r>
    </w:p>
    <w:p w14:paraId="093A8E27" w14:textId="77777777" w:rsidR="00B40C1A" w:rsidRPr="00B40C1A" w:rsidRDefault="00B40C1A" w:rsidP="00B40C1A">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B40C1A">
        <w:rPr>
          <w:rFonts w:ascii="Times New Roman" w:eastAsia="Times New Roman" w:hAnsi="Times New Roman" w:cs="Times New Roman"/>
          <w:color w:val="000000"/>
          <w:kern w:val="36"/>
          <w:sz w:val="30"/>
          <w:szCs w:val="30"/>
        </w:rPr>
        <w:t>What Is a Bond Ladder?</w:t>
      </w:r>
    </w:p>
    <w:p w14:paraId="266C288A" w14:textId="77777777" w:rsidR="00B40C1A" w:rsidRPr="00B40C1A" w:rsidRDefault="00B40C1A" w:rsidP="00B40C1A">
      <w:pPr>
        <w:shd w:val="clear" w:color="auto" w:fill="FFFFFF"/>
        <w:spacing w:after="180" w:line="240" w:lineRule="auto"/>
        <w:rPr>
          <w:rFonts w:ascii="Times New Roman" w:eastAsia="Times New Roman" w:hAnsi="Times New Roman" w:cs="Times New Roman"/>
          <w:color w:val="000000"/>
          <w:sz w:val="21"/>
          <w:szCs w:val="21"/>
        </w:rPr>
      </w:pPr>
      <w:r w:rsidRPr="00B40C1A">
        <w:rPr>
          <w:rFonts w:ascii="Times New Roman" w:eastAsia="Times New Roman" w:hAnsi="Times New Roman" w:cs="Times New Roman"/>
          <w:color w:val="000000"/>
          <w:sz w:val="21"/>
          <w:szCs w:val="21"/>
        </w:rPr>
        <w:t>A bond ladder is a strategy involving the purchase of bonds that have staggering maturity dates. Instead of maturing all at once, the bonds mature in intervals. This may help a bondholder to be less susceptible to changes in interest rates.</w:t>
      </w:r>
    </w:p>
    <w:p w14:paraId="1E5BFCB8" w14:textId="77777777" w:rsidR="00B40C1A" w:rsidRPr="00B40C1A" w:rsidRDefault="00B40C1A" w:rsidP="00B40C1A">
      <w:pPr>
        <w:shd w:val="clear" w:color="auto" w:fill="FFFFFF"/>
        <w:spacing w:after="180" w:line="240" w:lineRule="auto"/>
        <w:rPr>
          <w:rFonts w:ascii="Times New Roman" w:eastAsia="Times New Roman" w:hAnsi="Times New Roman" w:cs="Times New Roman"/>
          <w:color w:val="000000"/>
          <w:sz w:val="21"/>
          <w:szCs w:val="21"/>
        </w:rPr>
      </w:pPr>
      <w:r w:rsidRPr="00B40C1A">
        <w:rPr>
          <w:rFonts w:ascii="Times New Roman" w:eastAsia="Times New Roman" w:hAnsi="Times New Roman" w:cs="Times New Roman"/>
          <w:color w:val="000000"/>
          <w:sz w:val="21"/>
          <w:szCs w:val="21"/>
        </w:rPr>
        <w:t>For example, assume you set up a five-year bond ladder. You could purchase five different bonds with maturity dates of one, two, three, four, and five years, respectively. When the first bond matures after one year, you would purchase a new five-year bond to keep the ladder intact. If interest rates have risen, you benefit from having cash available to invest in a new bond at the higher rate. If interest rates have fallen, only a portion of your investment would be subject to the lower rate. In addition to interest-rate risk, bonds are subject to inflation and credit quality risk.</w:t>
      </w:r>
    </w:p>
    <w:p w14:paraId="49FAD65E" w14:textId="77777777" w:rsidR="00B40C1A" w:rsidRPr="00B40C1A" w:rsidRDefault="00B40C1A" w:rsidP="00B40C1A">
      <w:pPr>
        <w:shd w:val="clear" w:color="auto" w:fill="FFFFFF"/>
        <w:spacing w:after="180" w:line="240" w:lineRule="auto"/>
        <w:rPr>
          <w:rFonts w:ascii="Times New Roman" w:eastAsia="Times New Roman" w:hAnsi="Times New Roman" w:cs="Times New Roman"/>
          <w:color w:val="000000"/>
          <w:sz w:val="21"/>
          <w:szCs w:val="21"/>
        </w:rPr>
      </w:pPr>
      <w:r w:rsidRPr="00B40C1A">
        <w:rPr>
          <w:rFonts w:ascii="Times New Roman" w:eastAsia="Times New Roman" w:hAnsi="Times New Roman" w:cs="Times New Roman"/>
          <w:color w:val="000000"/>
          <w:sz w:val="21"/>
          <w:szCs w:val="21"/>
        </w:rPr>
        <w:t xml:space="preserve">A bond ladder has no effect on the risk of the bonds </w:t>
      </w:r>
      <w:proofErr w:type="gramStart"/>
      <w:r w:rsidRPr="00B40C1A">
        <w:rPr>
          <w:rFonts w:ascii="Times New Roman" w:eastAsia="Times New Roman" w:hAnsi="Times New Roman" w:cs="Times New Roman"/>
          <w:color w:val="000000"/>
          <w:sz w:val="21"/>
          <w:szCs w:val="21"/>
        </w:rPr>
        <w:t>themselves, but</w:t>
      </w:r>
      <w:proofErr w:type="gramEnd"/>
      <w:r w:rsidRPr="00B40C1A">
        <w:rPr>
          <w:rFonts w:ascii="Times New Roman" w:eastAsia="Times New Roman" w:hAnsi="Times New Roman" w:cs="Times New Roman"/>
          <w:color w:val="000000"/>
          <w:sz w:val="21"/>
          <w:szCs w:val="21"/>
        </w:rPr>
        <w:t xml:space="preserve"> using this strategy may help put you in a better position potentially to benefit when interest rates are high and to reduce your bond portfolio's exposure to investment rate risk when rates are low.</w:t>
      </w:r>
    </w:p>
    <w:p w14:paraId="36FE9E7A" w14:textId="77777777" w:rsidR="00B40C1A" w:rsidRPr="00B40C1A" w:rsidRDefault="00B40C1A" w:rsidP="00B40C1A">
      <w:pPr>
        <w:shd w:val="clear" w:color="auto" w:fill="FFFFFF"/>
        <w:spacing w:after="180" w:line="240" w:lineRule="auto"/>
        <w:rPr>
          <w:rFonts w:ascii="Times New Roman" w:eastAsia="Times New Roman" w:hAnsi="Times New Roman" w:cs="Times New Roman"/>
          <w:color w:val="000000"/>
          <w:sz w:val="21"/>
          <w:szCs w:val="21"/>
        </w:rPr>
      </w:pPr>
      <w:r w:rsidRPr="00B40C1A">
        <w:rPr>
          <w:rFonts w:ascii="Times New Roman" w:eastAsia="Times New Roman" w:hAnsi="Times New Roman" w:cs="Times New Roman"/>
          <w:color w:val="000000"/>
          <w:sz w:val="21"/>
          <w:szCs w:val="21"/>
        </w:rPr>
        <w:t>By investing in a bond ladder instead of a single bond, you keep your money in motion and have access to a portion of your investment on a regular basis. This may help you structure your portfolio to withstand the inevitability of interest-rate fluctuations.</w:t>
      </w:r>
    </w:p>
    <w:p w14:paraId="79E66F91" w14:textId="433BA1E4" w:rsidR="00B40C1A" w:rsidRDefault="00B40C1A" w:rsidP="00B40C1A">
      <w:pPr>
        <w:shd w:val="clear" w:color="auto" w:fill="FFFFFF"/>
        <w:spacing w:after="180" w:line="240" w:lineRule="auto"/>
        <w:rPr>
          <w:rFonts w:ascii="Times New Roman" w:eastAsia="Times New Roman" w:hAnsi="Times New Roman" w:cs="Times New Roman"/>
          <w:color w:val="000000"/>
          <w:sz w:val="21"/>
          <w:szCs w:val="21"/>
        </w:rPr>
      </w:pPr>
      <w:r w:rsidRPr="00B40C1A">
        <w:rPr>
          <w:rFonts w:ascii="Times New Roman" w:eastAsia="Times New Roman" w:hAnsi="Times New Roman" w:cs="Times New Roman"/>
          <w:color w:val="000000"/>
          <w:sz w:val="21"/>
          <w:szCs w:val="21"/>
        </w:rPr>
        <w:t xml:space="preserve">The return and principal value of bonds fluctuate with changes in market conditions. If sold prior to maturity, a bond may be worth </w:t>
      </w:r>
      <w:proofErr w:type="gramStart"/>
      <w:r w:rsidRPr="00B40C1A">
        <w:rPr>
          <w:rFonts w:ascii="Times New Roman" w:eastAsia="Times New Roman" w:hAnsi="Times New Roman" w:cs="Times New Roman"/>
          <w:color w:val="000000"/>
          <w:sz w:val="21"/>
          <w:szCs w:val="21"/>
        </w:rPr>
        <w:t>more or less than</w:t>
      </w:r>
      <w:proofErr w:type="gramEnd"/>
      <w:r w:rsidRPr="00B40C1A">
        <w:rPr>
          <w:rFonts w:ascii="Times New Roman" w:eastAsia="Times New Roman" w:hAnsi="Times New Roman" w:cs="Times New Roman"/>
          <w:color w:val="000000"/>
          <w:sz w:val="21"/>
          <w:szCs w:val="21"/>
        </w:rPr>
        <w:t xml:space="preserve"> its original cost. Investments seeking to achieve higher returns also involve </w:t>
      </w:r>
      <w:proofErr w:type="gramStart"/>
      <w:r w:rsidRPr="00B40C1A">
        <w:rPr>
          <w:rFonts w:ascii="Times New Roman" w:eastAsia="Times New Roman" w:hAnsi="Times New Roman" w:cs="Times New Roman"/>
          <w:color w:val="000000"/>
          <w:sz w:val="21"/>
          <w:szCs w:val="21"/>
        </w:rPr>
        <w:t>a higher degree of</w:t>
      </w:r>
      <w:proofErr w:type="gramEnd"/>
      <w:r w:rsidRPr="00B40C1A">
        <w:rPr>
          <w:rFonts w:ascii="Times New Roman" w:eastAsia="Times New Roman" w:hAnsi="Times New Roman" w:cs="Times New Roman"/>
          <w:color w:val="000000"/>
          <w:sz w:val="21"/>
          <w:szCs w:val="21"/>
        </w:rPr>
        <w:t xml:space="preserve"> risk.</w:t>
      </w:r>
    </w:p>
    <w:p w14:paraId="61BE8BB5" w14:textId="77777777" w:rsidR="00C91A0A" w:rsidRPr="00B40C1A" w:rsidRDefault="00C91A0A" w:rsidP="00B40C1A">
      <w:pPr>
        <w:shd w:val="clear" w:color="auto" w:fill="FFFFFF"/>
        <w:spacing w:after="180" w:line="240" w:lineRule="auto"/>
        <w:rPr>
          <w:rFonts w:ascii="Times New Roman" w:eastAsia="Times New Roman" w:hAnsi="Times New Roman" w:cs="Times New Roman"/>
          <w:color w:val="000000"/>
          <w:sz w:val="21"/>
          <w:szCs w:val="21"/>
        </w:rPr>
      </w:pPr>
      <w:bookmarkStart w:id="0" w:name="_GoBack"/>
      <w:bookmarkEnd w:id="0"/>
    </w:p>
    <w:p w14:paraId="432EBA98" w14:textId="1A0B4B21" w:rsidR="004A112D" w:rsidRPr="00C91A0A" w:rsidRDefault="00B40C1A" w:rsidP="00C91A0A">
      <w:pPr>
        <w:shd w:val="clear" w:color="auto" w:fill="FFFFFF"/>
        <w:spacing w:after="180" w:line="240" w:lineRule="auto"/>
        <w:rPr>
          <w:rFonts w:ascii="Times New Roman" w:eastAsia="Times New Roman" w:hAnsi="Times New Roman" w:cs="Times New Roman"/>
          <w:color w:val="000000"/>
          <w:sz w:val="21"/>
          <w:szCs w:val="21"/>
        </w:rPr>
      </w:pPr>
      <w:r w:rsidRPr="00B40C1A">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B40C1A">
        <w:rPr>
          <w:rFonts w:ascii="Times New Roman" w:eastAsia="Times New Roman" w:hAnsi="Times New Roman" w:cs="Times New Roman"/>
          <w:color w:val="000000"/>
          <w:sz w:val="21"/>
          <w:szCs w:val="21"/>
        </w:rPr>
        <w:t>for the purpose of</w:t>
      </w:r>
      <w:proofErr w:type="gramEnd"/>
      <w:r w:rsidRPr="00B40C1A">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B40C1A">
        <w:rPr>
          <w:rFonts w:ascii="Times New Roman" w:eastAsia="Times New Roman" w:hAnsi="Times New Roman" w:cs="Times New Roman"/>
          <w:color w:val="000000"/>
          <w:sz w:val="21"/>
          <w:szCs w:val="21"/>
        </w:rPr>
        <w:t>presented</w:t>
      </w:r>
      <w:proofErr w:type="gramEnd"/>
      <w:r w:rsidRPr="00B40C1A">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sectPr w:rsidR="004A112D" w:rsidRPr="00C91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1A"/>
    <w:rsid w:val="004A112D"/>
    <w:rsid w:val="00B40C1A"/>
    <w:rsid w:val="00C9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0AAD"/>
  <w15:chartTrackingRefBased/>
  <w15:docId w15:val="{F4091B40-40D4-44A8-A397-DD3CB3BA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40C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C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40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B40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B40C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2</cp:revision>
  <dcterms:created xsi:type="dcterms:W3CDTF">2018-03-22T16:13:00Z</dcterms:created>
  <dcterms:modified xsi:type="dcterms:W3CDTF">2018-03-22T16:15:00Z</dcterms:modified>
</cp:coreProperties>
</file>